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93" w:rsidRDefault="00724B00">
      <w:r w:rsidRPr="008A67C1">
        <w:rPr>
          <w:rFonts w:ascii="Cambria" w:hAnsi="Cambria"/>
          <w:b/>
          <w:sz w:val="24"/>
          <w:szCs w:val="24"/>
        </w:rPr>
        <w:t>Vorbemerkung</w:t>
      </w:r>
      <w:r w:rsidRPr="008A67C1">
        <w:rPr>
          <w:rFonts w:ascii="Cambria" w:hAnsi="Cambria"/>
          <w:sz w:val="24"/>
          <w:szCs w:val="24"/>
        </w:rPr>
        <w:t>:</w:t>
      </w:r>
      <w:r>
        <w:t xml:space="preserve"> Diese </w:t>
      </w:r>
      <w:r w:rsidRPr="009C662A">
        <w:rPr>
          <w:color w:val="ED7D31" w:themeColor="accent2"/>
        </w:rPr>
        <w:t>Anmerkungen</w:t>
      </w:r>
      <w:r>
        <w:t xml:space="preserve"> beziehen sich nur auf den Sachgehalt des Prüfberichts</w:t>
      </w:r>
    </w:p>
    <w:p w:rsidR="00127D66" w:rsidRDefault="00127D66">
      <w:bookmarkStart w:id="0" w:name="_GoBack"/>
      <w:bookmarkEnd w:id="0"/>
    </w:p>
    <w:p w:rsidR="00127D66" w:rsidRDefault="00127D66">
      <w:r w:rsidRPr="008A67C1">
        <w:rPr>
          <w:rFonts w:ascii="Cambria" w:hAnsi="Cambria"/>
          <w:b/>
          <w:sz w:val="24"/>
          <w:szCs w:val="24"/>
        </w:rPr>
        <w:t>Wesentliche Feststellungen</w:t>
      </w:r>
      <w:r w:rsidRPr="008A67C1">
        <w:rPr>
          <w:b/>
        </w:rPr>
        <w:t xml:space="preserve"> </w:t>
      </w:r>
      <w:r>
        <w:t>(S.1)</w:t>
      </w:r>
    </w:p>
    <w:p w:rsidR="00724B00" w:rsidRDefault="00127D66">
      <w:r w:rsidRPr="00440973">
        <w:t xml:space="preserve">Die Bezuschussung von Einzelpersonen ohne klare und überprüfbare Kriterien birgt grundsätzlich das Risiko, dass diese Mittel nicht objektiv vergeben werden und </w:t>
      </w:r>
      <w:r>
        <w:t>e</w:t>
      </w:r>
      <w:r w:rsidRPr="00440973">
        <w:t>inzel</w:t>
      </w:r>
      <w:r>
        <w:t>ne P</w:t>
      </w:r>
      <w:r w:rsidRPr="00440973">
        <w:t>e</w:t>
      </w:r>
      <w:r w:rsidRPr="00440973">
        <w:t>r</w:t>
      </w:r>
      <w:r w:rsidRPr="00440973">
        <w:t>sonen begünstigt werden.</w:t>
      </w:r>
    </w:p>
    <w:p w:rsidR="00127D66" w:rsidRPr="009C662A" w:rsidRDefault="00127D66">
      <w:pPr>
        <w:rPr>
          <w:i/>
          <w:color w:val="ED7D31" w:themeColor="accent2"/>
        </w:rPr>
      </w:pPr>
      <w:r w:rsidRPr="009C662A">
        <w:rPr>
          <w:i/>
          <w:color w:val="ED7D31" w:themeColor="accent2"/>
        </w:rPr>
        <w:t xml:space="preserve">Die Kriterien sind als Richtlinien im Team der Leiterkonferenz erarbeitet und von der Fachabteilung als verbindlich eingesetzt worden. Die Änderung der Richtlinie liegt nicht im Ermessen des für die Vergabe zuständigen Referenten. </w:t>
      </w:r>
    </w:p>
    <w:p w:rsidR="00127D66" w:rsidRDefault="00127D66" w:rsidP="00127D66">
      <w:pPr>
        <w:spacing w:before="40"/>
      </w:pPr>
      <w:r>
        <w:t>Ein Teil der Zahlungen (z.B. Nothilfe) wird o</w:t>
      </w:r>
      <w:r>
        <w:t>h</w:t>
      </w:r>
      <w:r>
        <w:t xml:space="preserve">ne Regelgrundlage praktiziert. </w:t>
      </w:r>
    </w:p>
    <w:p w:rsidR="00127D66" w:rsidRPr="009C662A" w:rsidRDefault="00127D66">
      <w:pPr>
        <w:rPr>
          <w:color w:val="ED7D31" w:themeColor="accent2"/>
        </w:rPr>
      </w:pPr>
      <w:r w:rsidRPr="009C662A">
        <w:rPr>
          <w:i/>
          <w:color w:val="ED7D31" w:themeColor="accent2"/>
        </w:rPr>
        <w:t>Dies ist analog der Praxis in Pfarrgemeinden, wo den Seelsorgern auch entsprechende Fonds als Treuhandfond zur Verfügung stehen.</w:t>
      </w:r>
    </w:p>
    <w:p w:rsidR="00127D66" w:rsidRDefault="000E2929">
      <w:r>
        <w:t>Die Gesamtkosten für die KHG betrugen in 2017 ca. 638.855 Euro</w:t>
      </w:r>
    </w:p>
    <w:p w:rsidR="000E2929" w:rsidRPr="009C662A" w:rsidRDefault="000E2929">
      <w:pPr>
        <w:rPr>
          <w:i/>
          <w:color w:val="ED7D31" w:themeColor="accent2"/>
        </w:rPr>
      </w:pPr>
      <w:r w:rsidRPr="009C662A">
        <w:rPr>
          <w:i/>
          <w:color w:val="ED7D31" w:themeColor="accent2"/>
        </w:rPr>
        <w:t xml:space="preserve">Diese Summe sind zum weitaus größten Teil Personal- </w:t>
      </w:r>
      <w:proofErr w:type="spellStart"/>
      <w:r w:rsidRPr="009C662A">
        <w:rPr>
          <w:i/>
          <w:color w:val="ED7D31" w:themeColor="accent2"/>
        </w:rPr>
        <w:t>u.ä.</w:t>
      </w:r>
      <w:proofErr w:type="spellEnd"/>
      <w:r w:rsidRPr="009C662A">
        <w:rPr>
          <w:i/>
          <w:color w:val="ED7D31" w:themeColor="accent2"/>
        </w:rPr>
        <w:t xml:space="preserve"> gebundene Kosten, über die die Einrichtungsleitung der KHG</w:t>
      </w:r>
      <w:r w:rsidR="008A67C1" w:rsidRPr="009C662A">
        <w:rPr>
          <w:i/>
          <w:color w:val="ED7D31" w:themeColor="accent2"/>
        </w:rPr>
        <w:t xml:space="preserve"> </w:t>
      </w:r>
      <w:r w:rsidRPr="009C662A">
        <w:rPr>
          <w:i/>
          <w:color w:val="ED7D31" w:themeColor="accent2"/>
        </w:rPr>
        <w:t>nicht verfügen kann und in die sie auch keinen Einblick hat, da sie im Budget der KHG nicht erfasst sind. Von daher können diese Kosten nicht Gegenstand der Prüfung der KHG sein.</w:t>
      </w:r>
    </w:p>
    <w:p w:rsidR="000E2929" w:rsidRDefault="000E2929">
      <w:r w:rsidRPr="008A67C1">
        <w:rPr>
          <w:rFonts w:ascii="Cambria" w:hAnsi="Cambria"/>
          <w:b/>
          <w:sz w:val="24"/>
          <w:szCs w:val="24"/>
        </w:rPr>
        <w:t>3. Ausgangssituation</w:t>
      </w:r>
      <w:r w:rsidR="00E027D9">
        <w:t xml:space="preserve"> (</w:t>
      </w:r>
      <w:r>
        <w:t>S.5</w:t>
      </w:r>
      <w:r w:rsidR="00E027D9">
        <w:t>)</w:t>
      </w:r>
      <w:r>
        <w:t>:</w:t>
      </w:r>
    </w:p>
    <w:p w:rsidR="000E2929" w:rsidRDefault="000E2929" w:rsidP="000E2929">
      <w:r>
        <w:t>expliziter Wunsch eines früheren Bischofs berichtet</w:t>
      </w:r>
      <w:r>
        <w:t xml:space="preserve"> … </w:t>
      </w:r>
      <w:r>
        <w:t>Dokumente hierfür kon</w:t>
      </w:r>
      <w:r>
        <w:t>n</w:t>
      </w:r>
      <w:r>
        <w:t>ten nicht identifiziert werden.</w:t>
      </w:r>
    </w:p>
    <w:p w:rsidR="000E2929" w:rsidRPr="009C662A" w:rsidRDefault="000E2929">
      <w:pPr>
        <w:rPr>
          <w:i/>
          <w:color w:val="ED7D31" w:themeColor="accent2"/>
        </w:rPr>
      </w:pPr>
      <w:r w:rsidRPr="009C662A">
        <w:rPr>
          <w:i/>
          <w:color w:val="ED7D31" w:themeColor="accent2"/>
        </w:rPr>
        <w:t xml:space="preserve">Gründungsmythen, Wünsche und Absichten </w:t>
      </w:r>
      <w:r w:rsidR="00A761C0" w:rsidRPr="009C662A">
        <w:rPr>
          <w:i/>
          <w:color w:val="ED7D31" w:themeColor="accent2"/>
        </w:rPr>
        <w:t>werden und wurden in der Geschichte des Bistums und der Kirche selten dokumentiert. Von daher stehen die aktuell agierenden Verantwortlichen eher in einer gelebten Tradition, die sich auch nicht retrograd regulieren lässt</w:t>
      </w:r>
    </w:p>
    <w:p w:rsidR="00A761C0" w:rsidRDefault="00A761C0">
      <w:r w:rsidRPr="008A67C1">
        <w:rPr>
          <w:rFonts w:ascii="Cambria" w:hAnsi="Cambria"/>
          <w:b/>
          <w:sz w:val="24"/>
          <w:szCs w:val="24"/>
        </w:rPr>
        <w:t>3.2 Bewertung KHG</w:t>
      </w:r>
      <w:r w:rsidR="00E027D9">
        <w:t xml:space="preserve"> (S.6)</w:t>
      </w:r>
    </w:p>
    <w:p w:rsidR="00A761C0" w:rsidRDefault="00A761C0">
      <w:r>
        <w:t>Die KHG als Außenstelle hat über viele Jahre eine große Distanz zum Bistum Aachen und damit eine hohe Eigenständigkeit insbesondere in Verwaltungsthemen - auch bei der IT-Einbindung - aufgebaut.</w:t>
      </w:r>
    </w:p>
    <w:p w:rsidR="00A761C0" w:rsidRPr="009C662A" w:rsidRDefault="00A761C0">
      <w:pPr>
        <w:rPr>
          <w:i/>
          <w:color w:val="ED7D31" w:themeColor="accent2"/>
        </w:rPr>
      </w:pPr>
      <w:r w:rsidRPr="009C662A">
        <w:rPr>
          <w:i/>
          <w:color w:val="ED7D31" w:themeColor="accent2"/>
        </w:rPr>
        <w:t xml:space="preserve">Nicht die KHG hat eine große Distanz aufgebaut, sondern die hohe Eigenständigkeit ist ermöglicht worden von Seiten des Generalvikariates und ergibt sich aus der </w:t>
      </w:r>
      <w:r w:rsidR="00E027D9" w:rsidRPr="009C662A">
        <w:rPr>
          <w:i/>
          <w:color w:val="ED7D31" w:themeColor="accent2"/>
        </w:rPr>
        <w:t xml:space="preserve">gewollten und in den Leitlinien Hochschulpastoral dokumentierten </w:t>
      </w:r>
      <w:r w:rsidRPr="009C662A">
        <w:rPr>
          <w:i/>
          <w:color w:val="ED7D31" w:themeColor="accent2"/>
        </w:rPr>
        <w:t xml:space="preserve">Besonderheit ihres Dienstes an der Schnittstelle kirchlich/ pastoralen Handelns </w:t>
      </w:r>
      <w:r w:rsidR="00E027D9" w:rsidRPr="009C662A">
        <w:rPr>
          <w:i/>
          <w:color w:val="ED7D31" w:themeColor="accent2"/>
        </w:rPr>
        <w:t>an und in der Zivilgesellschaft.</w:t>
      </w:r>
    </w:p>
    <w:p w:rsidR="00E027D9" w:rsidRDefault="00E027D9" w:rsidP="00E027D9">
      <w:r w:rsidRPr="007553A0">
        <w:t xml:space="preserve">Die Interne Revision empfiehlt, </w:t>
      </w:r>
      <w:r>
        <w:t xml:space="preserve">dass alle </w:t>
      </w:r>
      <w:r w:rsidRPr="007553A0">
        <w:t>Beteiligten die gegenseitigen B</w:t>
      </w:r>
      <w:r w:rsidRPr="007553A0">
        <w:t>e</w:t>
      </w:r>
      <w:r w:rsidRPr="007553A0">
        <w:t>darfe intensiver auszutauschen.</w:t>
      </w:r>
      <w:r>
        <w:t xml:space="preserve"> </w:t>
      </w:r>
    </w:p>
    <w:p w:rsidR="00E027D9" w:rsidRPr="009C662A" w:rsidRDefault="00E027D9">
      <w:pPr>
        <w:rPr>
          <w:i/>
          <w:color w:val="ED7D31" w:themeColor="accent2"/>
        </w:rPr>
      </w:pPr>
      <w:r w:rsidRPr="009C662A">
        <w:rPr>
          <w:i/>
          <w:color w:val="ED7D31" w:themeColor="accent2"/>
        </w:rPr>
        <w:t xml:space="preserve">Die verbindliche Austauschebene ist die Konferenz der Leiter mit der Fachabteilung. </w:t>
      </w:r>
      <w:r w:rsidR="001F5BD8" w:rsidRPr="009C662A">
        <w:rPr>
          <w:i/>
          <w:color w:val="ED7D31" w:themeColor="accent2"/>
        </w:rPr>
        <w:t>Darüber hinaus</w:t>
      </w:r>
      <w:r w:rsidRPr="009C662A">
        <w:rPr>
          <w:i/>
          <w:color w:val="ED7D31" w:themeColor="accent2"/>
        </w:rPr>
        <w:t xml:space="preserve"> fand bis 2015 </w:t>
      </w:r>
      <w:r w:rsidR="001F5BD8" w:rsidRPr="009C662A">
        <w:rPr>
          <w:i/>
          <w:color w:val="ED7D31" w:themeColor="accent2"/>
        </w:rPr>
        <w:t>jährlich ein Fachgespräch aller Mitarbeitenden in der Hochschulpastoral mit dem Bischof statt</w:t>
      </w:r>
    </w:p>
    <w:p w:rsidR="001F5BD8" w:rsidRPr="001F5BD8" w:rsidRDefault="001F5BD8" w:rsidP="001F5BD8">
      <w:pPr>
        <w:pStyle w:val="berschrift2"/>
        <w:numPr>
          <w:ilvl w:val="0"/>
          <w:numId w:val="0"/>
        </w:numPr>
        <w:rPr>
          <w:b w:val="0"/>
        </w:rPr>
      </w:pPr>
      <w:r w:rsidRPr="008A67C1">
        <w:rPr>
          <w:rFonts w:ascii="Cambria" w:hAnsi="Cambria"/>
          <w:sz w:val="24"/>
          <w:szCs w:val="24"/>
        </w:rPr>
        <w:t xml:space="preserve">6.3 </w:t>
      </w:r>
      <w:bookmarkStart w:id="1" w:name="_Toc509211176"/>
      <w:bookmarkStart w:id="2" w:name="_Ref509754284"/>
      <w:bookmarkStart w:id="3" w:name="_Ref509754352"/>
      <w:bookmarkStart w:id="4" w:name="_Ref509754525"/>
      <w:bookmarkStart w:id="5" w:name="_Toc511127395"/>
      <w:r w:rsidRPr="008A67C1">
        <w:rPr>
          <w:rFonts w:ascii="Cambria" w:hAnsi="Cambria"/>
          <w:sz w:val="24"/>
          <w:szCs w:val="24"/>
        </w:rPr>
        <w:t>Studentische Hilfskräfte und Dienstleistungen</w:t>
      </w:r>
      <w:bookmarkEnd w:id="1"/>
      <w:bookmarkEnd w:id="2"/>
      <w:bookmarkEnd w:id="3"/>
      <w:bookmarkEnd w:id="4"/>
      <w:bookmarkEnd w:id="5"/>
      <w:r w:rsidR="005E6E11">
        <w:rPr>
          <w:b w:val="0"/>
        </w:rPr>
        <w:t xml:space="preserve"> (S. 16)</w:t>
      </w:r>
    </w:p>
    <w:p w:rsidR="001F5BD8" w:rsidRDefault="001F5BD8" w:rsidP="001F5BD8">
      <w:r>
        <w:t>Eine geringere Anzahl von ca. 3-5 externen Krä</w:t>
      </w:r>
      <w:r>
        <w:t>f</w:t>
      </w:r>
      <w:r>
        <w:t>ten ist außerhalb dieses Pools für die KHG tätig. Die KHG hat keine schriftlichen Vereinb</w:t>
      </w:r>
      <w:r>
        <w:t>a</w:t>
      </w:r>
      <w:r>
        <w:t xml:space="preserve">rungen für diese externen Hilfskräfte. </w:t>
      </w:r>
    </w:p>
    <w:p w:rsidR="001F5BD8" w:rsidRDefault="001F5BD8"/>
    <w:p w:rsidR="001F5BD8" w:rsidRDefault="001F5BD8" w:rsidP="001F5BD8">
      <w:r>
        <w:t>Eine geringere Anzahl von ca. 3-5 externen Krä</w:t>
      </w:r>
      <w:r>
        <w:t>f</w:t>
      </w:r>
      <w:r>
        <w:t>ten ist außerhalb dieses Pools für die KHG tätig. Die KHG hat keine schriftlichen Vereinb</w:t>
      </w:r>
      <w:r>
        <w:t>a</w:t>
      </w:r>
      <w:r>
        <w:t xml:space="preserve">rungen für diese externen Hilfskräfte. </w:t>
      </w:r>
    </w:p>
    <w:p w:rsidR="001F5BD8" w:rsidRPr="009C662A" w:rsidRDefault="001F5BD8">
      <w:pPr>
        <w:rPr>
          <w:i/>
          <w:color w:val="ED7D31" w:themeColor="accent2"/>
        </w:rPr>
      </w:pPr>
      <w:r w:rsidRPr="009C662A">
        <w:rPr>
          <w:i/>
          <w:color w:val="ED7D31" w:themeColor="accent2"/>
        </w:rPr>
        <w:t>Für den Bereich Grafik und Administration Website sind seit 2007 Verträge vorhanden, die auch die Selbstverantwortung zur Versteuerung enthalten</w:t>
      </w:r>
    </w:p>
    <w:p w:rsidR="001F5BD8" w:rsidRDefault="005E6E11">
      <w:r w:rsidRPr="008A67C1">
        <w:rPr>
          <w:rFonts w:ascii="Cambria" w:hAnsi="Cambria"/>
          <w:b/>
          <w:sz w:val="24"/>
          <w:szCs w:val="24"/>
        </w:rPr>
        <w:t xml:space="preserve">6.4.6 </w:t>
      </w:r>
      <w:proofErr w:type="spellStart"/>
      <w:r w:rsidRPr="008A67C1">
        <w:rPr>
          <w:rFonts w:ascii="Cambria" w:hAnsi="Cambria"/>
          <w:b/>
          <w:sz w:val="24"/>
          <w:szCs w:val="24"/>
        </w:rPr>
        <w:t>Schulfee</w:t>
      </w:r>
      <w:proofErr w:type="spellEnd"/>
      <w:r>
        <w:t xml:space="preserve"> (S.29)</w:t>
      </w:r>
    </w:p>
    <w:p w:rsidR="005E6E11" w:rsidRDefault="005E6E11">
      <w:r>
        <w:t>Das Budget wird von dem für das Projekt zuständigen Referenten der KHG übe</w:t>
      </w:r>
      <w:r>
        <w:t>r</w:t>
      </w:r>
      <w:r>
        <w:t>wacht.</w:t>
      </w:r>
    </w:p>
    <w:p w:rsidR="005E6E11" w:rsidRPr="009C662A" w:rsidRDefault="005E6E11">
      <w:pPr>
        <w:rPr>
          <w:i/>
          <w:color w:val="ED7D31" w:themeColor="accent2"/>
        </w:rPr>
      </w:pPr>
      <w:r w:rsidRPr="009C662A">
        <w:rPr>
          <w:i/>
          <w:color w:val="ED7D31" w:themeColor="accent2"/>
        </w:rPr>
        <w:t xml:space="preserve">Hier ist zu ergänzen: auf Grundlage der jährlichen Verwendungsberichte des Development Departments der </w:t>
      </w:r>
      <w:proofErr w:type="spellStart"/>
      <w:r w:rsidRPr="009C662A">
        <w:rPr>
          <w:i/>
          <w:color w:val="ED7D31" w:themeColor="accent2"/>
        </w:rPr>
        <w:t>Diocese</w:t>
      </w:r>
      <w:proofErr w:type="spellEnd"/>
      <w:r w:rsidRPr="009C662A">
        <w:rPr>
          <w:i/>
          <w:color w:val="ED7D31" w:themeColor="accent2"/>
        </w:rPr>
        <w:t xml:space="preserve"> </w:t>
      </w:r>
      <w:proofErr w:type="spellStart"/>
      <w:r w:rsidRPr="009C662A">
        <w:rPr>
          <w:i/>
          <w:color w:val="ED7D31" w:themeColor="accent2"/>
        </w:rPr>
        <w:t>of</w:t>
      </w:r>
      <w:proofErr w:type="spellEnd"/>
      <w:r w:rsidRPr="009C662A">
        <w:rPr>
          <w:i/>
          <w:color w:val="ED7D31" w:themeColor="accent2"/>
        </w:rPr>
        <w:t xml:space="preserve"> </w:t>
      </w:r>
      <w:proofErr w:type="spellStart"/>
      <w:r w:rsidRPr="009C662A">
        <w:rPr>
          <w:i/>
          <w:color w:val="ED7D31" w:themeColor="accent2"/>
        </w:rPr>
        <w:t>Monze</w:t>
      </w:r>
      <w:proofErr w:type="spellEnd"/>
    </w:p>
    <w:p w:rsidR="005E6E11" w:rsidRDefault="005E6E11">
      <w:pPr>
        <w:rPr>
          <w:i/>
        </w:rPr>
      </w:pPr>
    </w:p>
    <w:p w:rsidR="005E6E11" w:rsidRDefault="005E6E11">
      <w:r w:rsidRPr="008A67C1">
        <w:rPr>
          <w:rFonts w:ascii="Cambria" w:hAnsi="Cambria"/>
          <w:b/>
          <w:sz w:val="24"/>
          <w:szCs w:val="24"/>
        </w:rPr>
        <w:t>6.5 Datenverarbeitungssysteme KHG</w:t>
      </w:r>
      <w:r>
        <w:t xml:space="preserve"> (S.29)</w:t>
      </w:r>
    </w:p>
    <w:p w:rsidR="005E6E11" w:rsidRDefault="005E6E11" w:rsidP="005E6E11">
      <w:r>
        <w:t>Die KHG nutzt abweichend vom Generalvikariat Microsoft Office, basierend auf einem eig</w:t>
      </w:r>
      <w:r>
        <w:t>e</w:t>
      </w:r>
      <w:r>
        <w:t xml:space="preserve">nen Lizenzkauf. </w:t>
      </w:r>
    </w:p>
    <w:p w:rsidR="005E6E11" w:rsidRDefault="005E6E11" w:rsidP="005E6E11">
      <w:r>
        <w:t xml:space="preserve">Diese Trennung wird von der KHG damit begründet, dass sie aufgrund der engen Anbindung an die RWTH ein mit deren EDV-Systemen kompatibles eigenes EDV-System benötigen würde. </w:t>
      </w:r>
    </w:p>
    <w:p w:rsidR="005E6E11" w:rsidRPr="009C662A" w:rsidRDefault="005E6E11">
      <w:pPr>
        <w:rPr>
          <w:i/>
          <w:color w:val="ED7D31" w:themeColor="accent2"/>
        </w:rPr>
      </w:pPr>
      <w:r w:rsidRPr="009C662A">
        <w:rPr>
          <w:i/>
          <w:color w:val="ED7D31" w:themeColor="accent2"/>
        </w:rPr>
        <w:t>Die Kommunikation mit Kunden und Kooperationspartnern</w:t>
      </w:r>
      <w:r w:rsidR="008A67C1" w:rsidRPr="009C662A">
        <w:rPr>
          <w:i/>
          <w:color w:val="ED7D31" w:themeColor="accent2"/>
        </w:rPr>
        <w:t>,</w:t>
      </w:r>
      <w:r w:rsidRPr="009C662A">
        <w:rPr>
          <w:i/>
          <w:color w:val="ED7D31" w:themeColor="accent2"/>
        </w:rPr>
        <w:t xml:space="preserve"> </w:t>
      </w:r>
      <w:r w:rsidR="008A67C1" w:rsidRPr="009C662A">
        <w:rPr>
          <w:i/>
          <w:color w:val="ED7D31" w:themeColor="accent2"/>
        </w:rPr>
        <w:t>aber auch studentischen Dienstleistern erfordert eine daran angepasste ständig zu aktualisierende Software- und Hardware- Ausstattung, um kommunikationsfähig zu bleiben und den digitalen und medialen Nutzungsgewohnheiten der Kunden entsprechen zu können.</w:t>
      </w:r>
    </w:p>
    <w:sectPr w:rsidR="005E6E11" w:rsidRPr="009C662A">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4F7" w:rsidRDefault="006724F7" w:rsidP="00724B00">
      <w:pPr>
        <w:spacing w:after="0" w:line="240" w:lineRule="auto"/>
      </w:pPr>
      <w:r>
        <w:separator/>
      </w:r>
    </w:p>
  </w:endnote>
  <w:endnote w:type="continuationSeparator" w:id="0">
    <w:p w:rsidR="006724F7" w:rsidRDefault="006724F7" w:rsidP="0072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724B00">
      <w:trPr>
        <w:jc w:val="right"/>
      </w:trPr>
      <w:tc>
        <w:tcPr>
          <w:tcW w:w="4795" w:type="dxa"/>
          <w:vAlign w:val="center"/>
        </w:tcPr>
        <w:sdt>
          <w:sdtPr>
            <w:rPr>
              <w:caps/>
              <w:color w:val="000000" w:themeColor="text1"/>
            </w:rPr>
            <w:alias w:val="Autor"/>
            <w:tag w:val=""/>
            <w:id w:val="1534539408"/>
            <w:placeholder>
              <w:docPart w:val="25D9317D79094B4D8708049E60B9719C"/>
            </w:placeholder>
            <w:dataBinding w:prefixMappings="xmlns:ns0='http://purl.org/dc/elements/1.1/' xmlns:ns1='http://schemas.openxmlformats.org/package/2006/metadata/core-properties' " w:xpath="/ns1:coreProperties[1]/ns0:creator[1]" w:storeItemID="{6C3C8BC8-F283-45AE-878A-BAB7291924A1}"/>
            <w:text/>
          </w:sdtPr>
          <w:sdtContent>
            <w:p w:rsidR="00724B00" w:rsidRDefault="00724B00">
              <w:pPr>
                <w:pStyle w:val="Kopfzeile"/>
                <w:jc w:val="right"/>
                <w:rPr>
                  <w:caps/>
                  <w:color w:val="000000" w:themeColor="text1"/>
                </w:rPr>
              </w:pPr>
              <w:r>
                <w:rPr>
                  <w:caps/>
                  <w:color w:val="000000" w:themeColor="text1"/>
                </w:rPr>
                <w:t>Guido Schürenberg</w:t>
              </w:r>
            </w:p>
          </w:sdtContent>
        </w:sdt>
      </w:tc>
      <w:tc>
        <w:tcPr>
          <w:tcW w:w="250" w:type="pct"/>
          <w:shd w:val="clear" w:color="auto" w:fill="ED7D31" w:themeFill="accent2"/>
          <w:vAlign w:val="center"/>
        </w:tcPr>
        <w:p w:rsidR="00724B00" w:rsidRDefault="00724B00">
          <w:pPr>
            <w:pStyle w:val="Fuzeil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9C662A">
            <w:rPr>
              <w:noProof/>
              <w:color w:val="FFFFFF" w:themeColor="background1"/>
            </w:rPr>
            <w:t>2</w:t>
          </w:r>
          <w:r>
            <w:rPr>
              <w:color w:val="FFFFFF" w:themeColor="background1"/>
            </w:rPr>
            <w:fldChar w:fldCharType="end"/>
          </w:r>
        </w:p>
      </w:tc>
    </w:tr>
  </w:tbl>
  <w:p w:rsidR="00724B00" w:rsidRDefault="00724B0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4F7" w:rsidRDefault="006724F7" w:rsidP="00724B00">
      <w:pPr>
        <w:spacing w:after="0" w:line="240" w:lineRule="auto"/>
      </w:pPr>
      <w:r>
        <w:separator/>
      </w:r>
    </w:p>
  </w:footnote>
  <w:footnote w:type="continuationSeparator" w:id="0">
    <w:p w:rsidR="006724F7" w:rsidRDefault="006724F7" w:rsidP="00724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B00" w:rsidRPr="00724B00" w:rsidRDefault="00724B00" w:rsidP="008A67C1">
    <w:pPr>
      <w:pStyle w:val="Kopfzeile"/>
      <w:pBdr>
        <w:bottom w:val="single" w:sz="4" w:space="1" w:color="auto"/>
      </w:pBdr>
      <w:rPr>
        <w:rFonts w:ascii="Cambria" w:hAnsi="Cambria"/>
        <w:sz w:val="32"/>
        <w:szCs w:val="32"/>
      </w:rPr>
    </w:pPr>
    <w:r w:rsidRPr="00724B00">
      <w:rPr>
        <w:rFonts w:ascii="Cambria" w:hAnsi="Cambria"/>
        <w:sz w:val="32"/>
        <w:szCs w:val="32"/>
      </w:rPr>
      <w:t>Anmerkungen zum Bericht Interne Revision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71A33"/>
    <w:multiLevelType w:val="multilevel"/>
    <w:tmpl w:val="14E4D2D2"/>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792"/>
        </w:tabs>
        <w:ind w:left="792" w:hanging="432"/>
      </w:pPr>
      <w:rPr>
        <w:rFonts w:hint="default"/>
      </w:rPr>
    </w:lvl>
    <w:lvl w:ilvl="2">
      <w:start w:val="1"/>
      <w:numFmt w:val="decimal"/>
      <w:pStyle w:val="berschrift3"/>
      <w:lvlText w:val="%1.%2.%3."/>
      <w:lvlJc w:val="left"/>
      <w:pPr>
        <w:tabs>
          <w:tab w:val="num" w:pos="1440"/>
        </w:tabs>
        <w:ind w:left="1224" w:hanging="504"/>
      </w:pPr>
      <w:rPr>
        <w:rFonts w:hint="default"/>
      </w:rPr>
    </w:lvl>
    <w:lvl w:ilvl="3">
      <w:start w:val="1"/>
      <w:numFmt w:val="decimal"/>
      <w:pStyle w:val="berschrift4"/>
      <w:lvlText w:val="%1.%2.%3.%4."/>
      <w:lvlJc w:val="left"/>
      <w:pPr>
        <w:tabs>
          <w:tab w:val="num" w:pos="2160"/>
        </w:tabs>
        <w:ind w:left="1728" w:hanging="648"/>
      </w:pPr>
      <w:rPr>
        <w:rFonts w:ascii="Arial" w:hAnsi="Aria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1BA"/>
    <w:rsid w:val="00062493"/>
    <w:rsid w:val="000E2929"/>
    <w:rsid w:val="00127D66"/>
    <w:rsid w:val="001F5BD8"/>
    <w:rsid w:val="005E6E11"/>
    <w:rsid w:val="006724F7"/>
    <w:rsid w:val="00724B00"/>
    <w:rsid w:val="007A51BA"/>
    <w:rsid w:val="008A67C1"/>
    <w:rsid w:val="009C662A"/>
    <w:rsid w:val="00A761C0"/>
    <w:rsid w:val="00E027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BDB93-163A-4239-A95C-D3716E23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9"/>
    <w:qFormat/>
    <w:rsid w:val="001F5BD8"/>
    <w:pPr>
      <w:keepNext/>
      <w:numPr>
        <w:numId w:val="1"/>
      </w:numPr>
      <w:spacing w:before="360" w:after="60" w:line="280" w:lineRule="atLeast"/>
      <w:jc w:val="both"/>
      <w:outlineLvl w:val="0"/>
    </w:pPr>
    <w:rPr>
      <w:rFonts w:ascii="Arial" w:eastAsia="Times New Roman" w:hAnsi="Arial" w:cs="Times New Roman"/>
      <w:b/>
      <w:kern w:val="28"/>
      <w:sz w:val="24"/>
      <w:szCs w:val="20"/>
    </w:rPr>
  </w:style>
  <w:style w:type="paragraph" w:styleId="berschrift2">
    <w:name w:val="heading 2"/>
    <w:basedOn w:val="Standard"/>
    <w:next w:val="Standard"/>
    <w:link w:val="berschrift2Zchn"/>
    <w:uiPriority w:val="99"/>
    <w:qFormat/>
    <w:rsid w:val="001F5BD8"/>
    <w:pPr>
      <w:keepNext/>
      <w:numPr>
        <w:ilvl w:val="1"/>
        <w:numId w:val="1"/>
      </w:numPr>
      <w:spacing w:before="240" w:after="60" w:line="280" w:lineRule="atLeast"/>
      <w:jc w:val="both"/>
      <w:outlineLvl w:val="1"/>
    </w:pPr>
    <w:rPr>
      <w:rFonts w:ascii="Arial" w:eastAsia="Times New Roman" w:hAnsi="Arial" w:cs="Times New Roman"/>
      <w:b/>
      <w:szCs w:val="20"/>
    </w:rPr>
  </w:style>
  <w:style w:type="paragraph" w:styleId="berschrift3">
    <w:name w:val="heading 3"/>
    <w:basedOn w:val="Standard"/>
    <w:next w:val="Standard"/>
    <w:link w:val="berschrift3Zchn"/>
    <w:uiPriority w:val="99"/>
    <w:qFormat/>
    <w:rsid w:val="001F5BD8"/>
    <w:pPr>
      <w:keepNext/>
      <w:numPr>
        <w:ilvl w:val="2"/>
        <w:numId w:val="1"/>
      </w:numPr>
      <w:tabs>
        <w:tab w:val="clear" w:pos="1440"/>
        <w:tab w:val="num" w:pos="1418"/>
      </w:tabs>
      <w:spacing w:before="240" w:after="60" w:line="280" w:lineRule="atLeast"/>
      <w:ind w:left="1418" w:hanging="698"/>
      <w:jc w:val="both"/>
      <w:outlineLvl w:val="2"/>
    </w:pPr>
    <w:rPr>
      <w:rFonts w:ascii="Arial" w:eastAsia="Times New Roman" w:hAnsi="Arial" w:cs="Times New Roman"/>
      <w:b/>
      <w:szCs w:val="20"/>
      <w:lang w:val="en-GB"/>
    </w:rPr>
  </w:style>
  <w:style w:type="paragraph" w:styleId="berschrift4">
    <w:name w:val="heading 4"/>
    <w:basedOn w:val="Standard"/>
    <w:next w:val="Standard"/>
    <w:link w:val="berschrift4Zchn"/>
    <w:uiPriority w:val="99"/>
    <w:qFormat/>
    <w:rsid w:val="001F5BD8"/>
    <w:pPr>
      <w:keepNext/>
      <w:numPr>
        <w:ilvl w:val="3"/>
        <w:numId w:val="1"/>
      </w:numPr>
      <w:tabs>
        <w:tab w:val="clear" w:pos="2160"/>
        <w:tab w:val="num" w:pos="2268"/>
      </w:tabs>
      <w:spacing w:before="240" w:after="60" w:line="280" w:lineRule="atLeast"/>
      <w:ind w:left="2268" w:hanging="931"/>
      <w:jc w:val="both"/>
      <w:outlineLvl w:val="3"/>
    </w:pPr>
    <w:rPr>
      <w:rFonts w:ascii="Arial" w:eastAsia="Times New Roman" w:hAnsi="Arial" w:cs="Times New Roman"/>
      <w:b/>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24B0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4B00"/>
  </w:style>
  <w:style w:type="paragraph" w:styleId="Fuzeile">
    <w:name w:val="footer"/>
    <w:basedOn w:val="Standard"/>
    <w:link w:val="FuzeileZchn"/>
    <w:uiPriority w:val="99"/>
    <w:unhideWhenUsed/>
    <w:rsid w:val="00724B0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4B00"/>
  </w:style>
  <w:style w:type="character" w:customStyle="1" w:styleId="berschrift1Zchn">
    <w:name w:val="Überschrift 1 Zchn"/>
    <w:basedOn w:val="Absatz-Standardschriftart"/>
    <w:link w:val="berschrift1"/>
    <w:uiPriority w:val="99"/>
    <w:rsid w:val="001F5BD8"/>
    <w:rPr>
      <w:rFonts w:ascii="Arial" w:eastAsia="Times New Roman" w:hAnsi="Arial" w:cs="Times New Roman"/>
      <w:b/>
      <w:kern w:val="28"/>
      <w:sz w:val="24"/>
      <w:szCs w:val="20"/>
    </w:rPr>
  </w:style>
  <w:style w:type="character" w:customStyle="1" w:styleId="berschrift2Zchn">
    <w:name w:val="Überschrift 2 Zchn"/>
    <w:basedOn w:val="Absatz-Standardschriftart"/>
    <w:link w:val="berschrift2"/>
    <w:uiPriority w:val="99"/>
    <w:rsid w:val="001F5BD8"/>
    <w:rPr>
      <w:rFonts w:ascii="Arial" w:eastAsia="Times New Roman" w:hAnsi="Arial" w:cs="Times New Roman"/>
      <w:b/>
      <w:szCs w:val="20"/>
    </w:rPr>
  </w:style>
  <w:style w:type="character" w:customStyle="1" w:styleId="berschrift3Zchn">
    <w:name w:val="Überschrift 3 Zchn"/>
    <w:basedOn w:val="Absatz-Standardschriftart"/>
    <w:link w:val="berschrift3"/>
    <w:uiPriority w:val="99"/>
    <w:rsid w:val="001F5BD8"/>
    <w:rPr>
      <w:rFonts w:ascii="Arial" w:eastAsia="Times New Roman" w:hAnsi="Arial" w:cs="Times New Roman"/>
      <w:b/>
      <w:szCs w:val="20"/>
      <w:lang w:val="en-GB"/>
    </w:rPr>
  </w:style>
  <w:style w:type="character" w:customStyle="1" w:styleId="berschrift4Zchn">
    <w:name w:val="Überschrift 4 Zchn"/>
    <w:basedOn w:val="Absatz-Standardschriftart"/>
    <w:link w:val="berschrift4"/>
    <w:uiPriority w:val="99"/>
    <w:rsid w:val="001F5BD8"/>
    <w:rPr>
      <w:rFonts w:ascii="Arial" w:eastAsia="Times New Roman" w:hAnsi="Arial"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D9317D79094B4D8708049E60B9719C"/>
        <w:category>
          <w:name w:val="Allgemein"/>
          <w:gallery w:val="placeholder"/>
        </w:category>
        <w:types>
          <w:type w:val="bbPlcHdr"/>
        </w:types>
        <w:behaviors>
          <w:behavior w:val="content"/>
        </w:behaviors>
        <w:guid w:val="{D9F79F31-C3F8-4A89-9627-9B7489DCCCDB}"/>
      </w:docPartPr>
      <w:docPartBody>
        <w:p w:rsidR="00000000" w:rsidRDefault="00822AEA" w:rsidP="00822AEA">
          <w:pPr>
            <w:pStyle w:val="25D9317D79094B4D8708049E60B9719C"/>
          </w:pPr>
          <w:r>
            <w:rPr>
              <w:caps/>
              <w:color w:val="FFFFFF" w:themeColor="background1"/>
            </w:rPr>
            <w:t>[Name des Autors]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AEA"/>
    <w:rsid w:val="0044339F"/>
    <w:rsid w:val="00822A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5D9317D79094B4D8708049E60B9719C">
    <w:name w:val="25D9317D79094B4D8708049E60B9719C"/>
    <w:rsid w:val="00822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3276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Schürenberg</dc:creator>
  <cp:keywords/>
  <dc:description/>
  <cp:lastModifiedBy>Guido Schürenberg</cp:lastModifiedBy>
  <cp:revision>2</cp:revision>
  <dcterms:created xsi:type="dcterms:W3CDTF">2018-04-13T12:16:00Z</dcterms:created>
  <dcterms:modified xsi:type="dcterms:W3CDTF">2018-04-13T13:43:00Z</dcterms:modified>
</cp:coreProperties>
</file>