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F1E1A" w14:textId="77777777" w:rsidR="00062493" w:rsidRDefault="00062493"/>
    <w:p w14:paraId="2902B82B" w14:textId="77777777" w:rsidR="001B63AE" w:rsidRDefault="001B63AE">
      <w:r>
        <w:t xml:space="preserve">Die Revisionsprüfung hat hilfreich auf zu korrigierende Fehler im Ablauf von Antragsverfahren für Stipendien und Zuschüsse für Studierende in </w:t>
      </w:r>
      <w:r w:rsidR="00A46F5A">
        <w:t xml:space="preserve">unverschuldeten </w:t>
      </w:r>
      <w:r>
        <w:t>Notlagen</w:t>
      </w:r>
      <w:r w:rsidR="00A46F5A">
        <w:t xml:space="preserve"> aufmerksam gemacht. Hier werden wir unverzüglich in Absprache mit der Fachabteilung 1.2 die erforderlichen Korrekturen und Verbesserungen </w:t>
      </w:r>
      <w:r w:rsidR="005C79F0">
        <w:t xml:space="preserve">entwickeln und </w:t>
      </w:r>
      <w:r w:rsidR="00A46F5A">
        <w:t>vornehmen.</w:t>
      </w:r>
    </w:p>
    <w:p w14:paraId="68601299" w14:textId="77777777" w:rsidR="00A46F5A" w:rsidRDefault="00A46F5A">
      <w:r>
        <w:t>Die Unklarheiten in der Budgetverwaltung sind einer schlechten Kommunikation durch die Fachabteilungen 1.2 und 4.1 geschuldet</w:t>
      </w:r>
      <w:r w:rsidR="00606993">
        <w:t>,</w:t>
      </w:r>
      <w:r>
        <w:t xml:space="preserve"> beziehungsweise konnten nicht umgesetzt werden mangels entsprechender Schulung des Kostenträgerverantwortlichen (der bisher auch nicht benannt war) und der Sachbearbeiterin.</w:t>
      </w:r>
    </w:p>
    <w:p w14:paraId="48B674A3" w14:textId="77777777" w:rsidR="00922275" w:rsidRPr="00D03692" w:rsidRDefault="00A46F5A">
      <w:pPr>
        <w:rPr>
          <w:color w:val="C45911" w:themeColor="accent2" w:themeShade="BF"/>
        </w:rPr>
      </w:pPr>
      <w:r>
        <w:t xml:space="preserve">Das Prüfungsergebnis bzgl. der  Schnittstellen KHG / Studentenwerk der KHG zeigt strukturelle Verflechtungen und mangelnde Trennschärfen auf, die teilweise </w:t>
      </w:r>
      <w:r w:rsidR="00922275">
        <w:t xml:space="preserve">historisch bedingt sind, aber nie von der Aufsichtsbehörde angemahnt wurden und auch bei den jährlichen Prüfungen der SOLIDARIS nie als bedenklich oder fragwürdig angemahnt wurden. Von daher mussten die Verantwortungsträger von der ordnungsgemäßen Geschäftsführung einer </w:t>
      </w:r>
      <w:proofErr w:type="spellStart"/>
      <w:r w:rsidR="00922275">
        <w:t>bistümlich</w:t>
      </w:r>
      <w:proofErr w:type="spellEnd"/>
      <w:r w:rsidR="00922275">
        <w:t xml:space="preserve"> und staatlich anerkannten gemeinnützigen Einrichtung ausgehen. </w:t>
      </w:r>
      <w:r w:rsidR="00D03692">
        <w:br/>
      </w:r>
      <w:r w:rsidR="00922275" w:rsidRPr="00D03692">
        <w:rPr>
          <w:color w:val="C45911" w:themeColor="accent2" w:themeShade="BF"/>
        </w:rPr>
        <w:t>Hier sind in jedem Fall Anpassungen in Satzung und Organisationsstruktur notwendig, um den satzungsmäßigen Auftrag, die Gemeinnützigkeit und vor allem die Beschäftigten nicht zu gefährden.</w:t>
      </w:r>
    </w:p>
    <w:p w14:paraId="1AA57120" w14:textId="77777777" w:rsidR="00922275" w:rsidRDefault="00922275">
      <w:r>
        <w:t xml:space="preserve">Hinsichtlich der </w:t>
      </w:r>
      <w:r w:rsidRPr="00D03692">
        <w:rPr>
          <w:b/>
        </w:rPr>
        <w:t>Bewertungen der Katholischen Hochschulgemeinde</w:t>
      </w:r>
      <w:r>
        <w:t xml:space="preserve"> (im Bericht auf S</w:t>
      </w:r>
      <w:r w:rsidR="00606993">
        <w:t>.6</w:t>
      </w:r>
      <w:r>
        <w:t>) möchten wir</w:t>
      </w:r>
      <w:r w:rsidR="00606993">
        <w:t>, neben den sachlichen Korrekturen und Anmerkungen, die dem Kommentar zum Bericht zu entnehmen sind,</w:t>
      </w:r>
      <w:r>
        <w:t xml:space="preserve"> zu einigen dort gemachten Aussagen dezidiert Stellung nehmen:</w:t>
      </w:r>
    </w:p>
    <w:p w14:paraId="57F19F48" w14:textId="77777777" w:rsidR="00D03692" w:rsidRPr="00D03692" w:rsidRDefault="00D03692" w:rsidP="00D03692">
      <w:pPr>
        <w:pStyle w:val="Listenabsatz"/>
        <w:numPr>
          <w:ilvl w:val="0"/>
          <w:numId w:val="1"/>
        </w:numPr>
        <w:pBdr>
          <w:left w:val="single" w:sz="4" w:space="4" w:color="auto"/>
        </w:pBdr>
        <w:rPr>
          <w:i/>
        </w:rPr>
      </w:pPr>
      <w:r w:rsidRPr="00D03692">
        <w:rPr>
          <w:i/>
        </w:rPr>
        <w:t xml:space="preserve">„Die KHG als Außenstelle hat über viele Jahre eine große Distanz zum Bistum Aachen und damit eine hohe Eigenständigkeit … aufgebaut. Alle Zahlungen werden durch die KHG selbst geleistet, auch unbare Zahlungen. … Die im Generalvikariat zuständigen Abteilungen werden für diese und andere Entscheidungen weitgehend nicht einbezogen. Die KHG hat über die Jahre ein hohes Selbstverständnis ihres Handelns entwickelt. Damit einher geht einerseits die Reduzierung des Verständnisses für berechtigte Anforderungen des Dienstgebers und der Organisation Bistum Aachen, für deren Regelbedarf und Anforderungen an Verwaltungshandeln, um die eigene Haftung für nicht ordnungsgemäßes Handeln ihrer Beschäftigten zu reduzieren. Andererseits geht damit die Reduzierung für das Verständnis gegenüber dem Dienstgeber und der Organisation Bistum Aachen einher, die Tätigkeiten und Aufgaben von Außenstellen und von einzelnen Beschäftigten im Zusammenhang mit der Gesamtentwicklung und Zukunftsfähigkeit des Bistums Aachen hinterfragen zu lassen.“ </w:t>
      </w:r>
    </w:p>
    <w:p w14:paraId="6B787202" w14:textId="77777777" w:rsidR="00606993" w:rsidRPr="00606993" w:rsidRDefault="00606993">
      <w:r w:rsidRPr="00606993">
        <w:rPr>
          <w:color w:val="C45911"/>
        </w:rPr>
        <w:t xml:space="preserve">Nicht die KHG hat eine große Distanz aufgebaut, sondern die hohe </w:t>
      </w:r>
      <w:r w:rsidRPr="00606993">
        <w:rPr>
          <w:b/>
          <w:color w:val="C45911"/>
        </w:rPr>
        <w:t>Eigenständigkeit i</w:t>
      </w:r>
      <w:r w:rsidRPr="00606993">
        <w:rPr>
          <w:color w:val="C45911"/>
        </w:rPr>
        <w:t>st ermöglicht worden von Seiten des Generalvikariates und ergibt sich aus der gewollten und i</w:t>
      </w:r>
      <w:r w:rsidR="00D03692">
        <w:rPr>
          <w:color w:val="C45911"/>
        </w:rPr>
        <w:t>m</w:t>
      </w:r>
      <w:r w:rsidRPr="00606993">
        <w:rPr>
          <w:color w:val="C45911"/>
        </w:rPr>
        <w:t xml:space="preserve"> </w:t>
      </w:r>
      <w:r w:rsidR="00D03692" w:rsidRPr="00D03692">
        <w:rPr>
          <w:b/>
        </w:rPr>
        <w:t xml:space="preserve">Konzept für die Hochschulpastoral </w:t>
      </w:r>
      <w:r w:rsidR="00D03692">
        <w:rPr>
          <w:b/>
        </w:rPr>
        <w:t>im Bistum Aachen</w:t>
      </w:r>
      <w:r w:rsidRPr="00606993">
        <w:rPr>
          <w:color w:val="C45911"/>
        </w:rPr>
        <w:t xml:space="preserve"> dokumentierten Besonderheit ihres Dienstes an der Schnittstelle kirchlich/ pastoralen Handelns an und in der Zivilgesellschaft.</w:t>
      </w:r>
    </w:p>
    <w:p w14:paraId="06BAA34D" w14:textId="77777777" w:rsidR="00606993" w:rsidRDefault="00D03692">
      <w:r>
        <w:t>Der Prozess der Profilierung der Hochschulpastoral im Bistum wurde von der KHG-Aachen konstruktiv seit vielen Jahren in regelmäßigem Austausch mit der Fachabteilung 1.2 und der Diözesanleitung bei den Leiterkonferenzen und dem jährlichen Austausch mit Bischof Mussinghoff</w:t>
      </w:r>
      <w:r w:rsidRPr="00D03692">
        <w:t xml:space="preserve"> </w:t>
      </w:r>
      <w:r>
        <w:t xml:space="preserve">betrieben. Wir sind in unserer Arbeit dem hieraus erwachsenen und akkreditierten </w:t>
      </w:r>
      <w:r w:rsidRPr="00D03692">
        <w:rPr>
          <w:b/>
        </w:rPr>
        <w:t xml:space="preserve">Konzept für die Hochschulpastoral </w:t>
      </w:r>
      <w:r>
        <w:rPr>
          <w:b/>
        </w:rPr>
        <w:t xml:space="preserve">im Bistum Aachen </w:t>
      </w:r>
      <w:r>
        <w:t>verpflichtet. Sie bilden die Grundlage unserer Arbeit in Pastoral, Beratung und Verwaltung.</w:t>
      </w:r>
    </w:p>
    <w:p w14:paraId="41177C17" w14:textId="77777777" w:rsidR="00D03692" w:rsidRPr="00D03692" w:rsidRDefault="00D03692" w:rsidP="00D03692">
      <w:pPr>
        <w:pStyle w:val="berschrift2"/>
        <w:numPr>
          <w:ilvl w:val="0"/>
          <w:numId w:val="1"/>
        </w:numPr>
        <w:rPr>
          <w:rFonts w:asciiTheme="minorHAnsi" w:hAnsiTheme="minorHAnsi" w:cstheme="minorHAnsi"/>
        </w:rPr>
      </w:pPr>
      <w:bookmarkStart w:id="0" w:name="_Toc509150649"/>
      <w:bookmarkStart w:id="1" w:name="_Ref509754400"/>
      <w:bookmarkStart w:id="2" w:name="_Toc511127396"/>
      <w:r w:rsidRPr="00D03692">
        <w:rPr>
          <w:rFonts w:asciiTheme="minorHAnsi" w:hAnsiTheme="minorHAnsi" w:cstheme="minorHAnsi"/>
        </w:rPr>
        <w:lastRenderedPageBreak/>
        <w:t>Zuschüsse durch die KHG an Einzelpersonen</w:t>
      </w:r>
      <w:bookmarkEnd w:id="0"/>
      <w:bookmarkEnd w:id="1"/>
      <w:bookmarkEnd w:id="2"/>
      <w:r w:rsidRPr="00D03692">
        <w:rPr>
          <w:rFonts w:asciiTheme="minorHAnsi" w:hAnsiTheme="minorHAnsi" w:cstheme="minorHAnsi"/>
        </w:rPr>
        <w:t xml:space="preserve"> </w:t>
      </w:r>
      <w:r w:rsidRPr="00D03692">
        <w:rPr>
          <w:rFonts w:asciiTheme="minorHAnsi" w:hAnsiTheme="minorHAnsi" w:cstheme="minorHAnsi"/>
          <w:b w:val="0"/>
        </w:rPr>
        <w:t>(6.4 ab S.17)</w:t>
      </w:r>
    </w:p>
    <w:p w14:paraId="3D006442" w14:textId="77777777" w:rsidR="00922275" w:rsidRDefault="00D03692">
      <w:r>
        <w:t xml:space="preserve">Unter </w:t>
      </w:r>
      <w:r w:rsidRPr="00D03692">
        <w:rPr>
          <w:b/>
        </w:rPr>
        <w:t>3.2 Grundvollzüge in der Hochschulpastoral</w:t>
      </w:r>
      <w:r>
        <w:t xml:space="preserve"> findet sich im </w:t>
      </w:r>
      <w:r w:rsidRPr="00D03692">
        <w:rPr>
          <w:b/>
        </w:rPr>
        <w:t xml:space="preserve">Konzept </w:t>
      </w:r>
      <w:r>
        <w:rPr>
          <w:b/>
        </w:rPr>
        <w:t xml:space="preserve">für die </w:t>
      </w:r>
      <w:r w:rsidRPr="00D03692">
        <w:rPr>
          <w:b/>
        </w:rPr>
        <w:t>Hochschulpastoral</w:t>
      </w:r>
      <w:r>
        <w:t xml:space="preserve"> auch die </w:t>
      </w:r>
      <w:r w:rsidRPr="00D03692">
        <w:rPr>
          <w:b/>
        </w:rPr>
        <w:t>Grundlage für die finanzielle Unterstützung von Studierenden</w:t>
      </w:r>
      <w:r>
        <w:t>:</w:t>
      </w:r>
    </w:p>
    <w:p w14:paraId="53131303" w14:textId="77777777" w:rsidR="00D03692" w:rsidRPr="00D03692" w:rsidRDefault="00D03692" w:rsidP="00D03692">
      <w:pPr>
        <w:spacing w:after="0" w:line="240" w:lineRule="auto"/>
        <w:rPr>
          <w:rFonts w:ascii="Arial" w:eastAsia="Times New Roman" w:hAnsi="Arial" w:cs="Arial"/>
          <w:b/>
          <w:sz w:val="29"/>
          <w:szCs w:val="29"/>
          <w:lang w:eastAsia="de-DE"/>
        </w:rPr>
      </w:pPr>
      <w:r>
        <w:rPr>
          <w:b/>
        </w:rPr>
        <w:t>„</w:t>
      </w:r>
      <w:r w:rsidRPr="00D03692">
        <w:rPr>
          <w:b/>
        </w:rPr>
        <w:t>Zeit für Fürsorge und Verantwortung</w:t>
      </w:r>
    </w:p>
    <w:p w14:paraId="1DCD4E88" w14:textId="77777777" w:rsidR="00D03692" w:rsidRPr="00D03692" w:rsidRDefault="00D03692" w:rsidP="00D03692">
      <w:pPr>
        <w:spacing w:after="0" w:line="240" w:lineRule="auto"/>
        <w:rPr>
          <w:rFonts w:eastAsia="Times New Roman" w:cstheme="minorHAnsi"/>
          <w:lang w:eastAsia="de-DE"/>
        </w:rPr>
      </w:pPr>
      <w:r w:rsidRPr="00D03692">
        <w:rPr>
          <w:rFonts w:eastAsia="Times New Roman" w:cstheme="minorHAnsi"/>
          <w:lang w:eastAsia="de-DE"/>
        </w:rPr>
        <w:t xml:space="preserve">Viele Hilfsangebote und Initiativen nehmen die finanziellen, wirtschaftlichen und sozialen Nöte der Studierenden in den Blick, sie ziehen sich wie ein roter Faden durch die alltägliche Arbeit der Hochschulpastoral. Dabei wird die konkrete Sorge und Not der Betroffenen ernst genommen und gemeinsam mit den Studierenden nach Lösungsmöglichkeiten gesucht. Diese </w:t>
      </w:r>
      <w:proofErr w:type="spellStart"/>
      <w:r w:rsidRPr="00D03692">
        <w:rPr>
          <w:rFonts w:eastAsia="Times New Roman" w:cstheme="minorHAnsi"/>
          <w:lang w:eastAsia="de-DE"/>
        </w:rPr>
        <w:t>diakonale</w:t>
      </w:r>
      <w:proofErr w:type="spellEnd"/>
      <w:r w:rsidRPr="00D03692">
        <w:rPr>
          <w:rFonts w:eastAsia="Times New Roman" w:cstheme="minorHAnsi"/>
          <w:lang w:eastAsia="de-DE"/>
        </w:rPr>
        <w:t xml:space="preserve"> Verantwortung öffnet sich auch auf das solidarische Leben in der Einen Welt und sucht nach gemeinsamen Handlungsmöglichkeiten dazu. Kooperationen mit diözesanen Einrichtungen und den Hilfswerken der katholischen Kirche, sowie mit den bundesweiten Stipendienwerken wie z.B. dem </w:t>
      </w:r>
      <w:proofErr w:type="spellStart"/>
      <w:r w:rsidRPr="00D03692">
        <w:rPr>
          <w:rFonts w:eastAsia="Times New Roman" w:cstheme="minorHAnsi"/>
          <w:lang w:eastAsia="de-DE"/>
        </w:rPr>
        <w:t>Cusanuswerk</w:t>
      </w:r>
      <w:proofErr w:type="spellEnd"/>
      <w:r w:rsidRPr="00D03692">
        <w:rPr>
          <w:rFonts w:eastAsia="Times New Roman" w:cstheme="minorHAnsi"/>
          <w:lang w:eastAsia="de-DE"/>
        </w:rPr>
        <w:t xml:space="preserve"> und dem Katholischen Akademischen Ausländer-Dienst sind Grundlage eines professionellen Spektrums verschiedener Hilfsangebote in Form von Beihilfen oder Stipendien, die die Studierenden in ihrem Studium vor Ort entlasten.</w:t>
      </w:r>
      <w:r>
        <w:rPr>
          <w:rFonts w:eastAsia="Times New Roman" w:cstheme="minorHAnsi"/>
          <w:lang w:eastAsia="de-DE"/>
        </w:rPr>
        <w:t>“</w:t>
      </w:r>
    </w:p>
    <w:p w14:paraId="684A7538" w14:textId="77777777" w:rsidR="00D03692" w:rsidRDefault="00D03692"/>
    <w:p w14:paraId="0B7FDFEE" w14:textId="77777777" w:rsidR="00D03692" w:rsidRPr="00D03692" w:rsidRDefault="00D03692" w:rsidP="00D03692">
      <w:pPr>
        <w:rPr>
          <w:color w:val="C45911" w:themeColor="accent2" w:themeShade="BF"/>
        </w:rPr>
      </w:pPr>
      <w:r w:rsidRPr="00D03692">
        <w:rPr>
          <w:color w:val="C45911" w:themeColor="accent2" w:themeShade="BF"/>
        </w:rPr>
        <w:t>Es ist uns wichtig diesen pastoralen Ansatz unserer Arbeit, der bereits in der Pastoralkonstitution des 2. Vatikanischen Konzils grundgelegt ist („ Freude und Hoffnung, Trauer und Angst der Menschen, insbesondere der Armen und Unterdrückten jeglicher Art, sind auch Freude und Hoffnung, Trauer und Angst der Jünger Christi“) immer wieder neu in Erinnerung zu rufen und in die Lebenssituation der in Aachen Studierenden hinein zu konkretisieren.</w:t>
      </w:r>
    </w:p>
    <w:p w14:paraId="43BE673B" w14:textId="77777777" w:rsidR="00D03692" w:rsidRPr="00D03692" w:rsidRDefault="00D03692" w:rsidP="00D03692">
      <w:pPr>
        <w:pStyle w:val="Standardfettblau"/>
        <w:pBdr>
          <w:left w:val="single" w:sz="4" w:space="4" w:color="auto"/>
        </w:pBdr>
        <w:rPr>
          <w:i/>
        </w:rPr>
      </w:pPr>
      <w:r w:rsidRPr="00D03692">
        <w:rPr>
          <w:i/>
        </w:rPr>
        <w:t>„</w:t>
      </w:r>
      <w:r w:rsidRPr="00D03692">
        <w:rPr>
          <w:rFonts w:asciiTheme="minorHAnsi" w:hAnsiTheme="minorHAnsi" w:cstheme="minorHAnsi"/>
          <w:i/>
        </w:rPr>
        <w:t xml:space="preserve">Bewertung </w:t>
      </w:r>
    </w:p>
    <w:p w14:paraId="7A8B1DFE" w14:textId="77777777" w:rsidR="00D03692" w:rsidRPr="00D03692" w:rsidRDefault="00D03692" w:rsidP="00D03692">
      <w:pPr>
        <w:pBdr>
          <w:left w:val="single" w:sz="4" w:space="4" w:color="auto"/>
        </w:pBdr>
        <w:rPr>
          <w:i/>
        </w:rPr>
      </w:pPr>
      <w:r w:rsidRPr="00D03692">
        <w:rPr>
          <w:i/>
        </w:rPr>
        <w:t>Es gibt keine rechtliche Definition einer unverschuldeten Notlage. Einige der für die Begründung einer besonderen Notlage in der Richtlinie genannten Gründe fallen unter die persönliche Lebensführung wie z.B. Umzug oder notwendige Anschaffung von Arbeitsmaterialien. Auch die Konsequenzen persönlicher Lebensführung und selbstbestimmter Entscheidungen können nicht als unverschuldete Notlage und damit als Grundlage für Einzelbezuschussung aus Kirchensteuern zugrunde gelegt werden. Eine unverschuldete Notlage wäre eher ein persönliches Schadensereignis, wie ein Unfall oder eine schwere Erkrankung, die z.B. eine Prüfungsteilnahme verhindert, oder das Opfer einer Straftat zu werden, etc.“</w:t>
      </w:r>
    </w:p>
    <w:p w14:paraId="460A9821" w14:textId="77777777" w:rsidR="00D03692" w:rsidRPr="00D03692" w:rsidRDefault="00D03692" w:rsidP="00D03692">
      <w:pPr>
        <w:rPr>
          <w:sz w:val="28"/>
          <w:szCs w:val="28"/>
        </w:rPr>
      </w:pPr>
      <w:r w:rsidRPr="00D03692">
        <w:rPr>
          <w:color w:val="C45911" w:themeColor="accent2" w:themeShade="BF"/>
        </w:rPr>
        <w:t xml:space="preserve">Zunächst gilt es festzuhalten, dass die Einzelfallhilfe zum Grundauftrag der Kirche gehört (Grundauftrag der Diakonie). Die hier angeführte unverschuldete Notlage ist eine Begrifflichkeit, die auch nur unzulänglich und annähernd beschrieben werden kann, keinesfalls aber wirklich objektivierbar ist. </w:t>
      </w:r>
      <w:r>
        <w:rPr>
          <w:color w:val="C45911" w:themeColor="accent2" w:themeShade="BF"/>
        </w:rPr>
        <w:t xml:space="preserve">Wir schlagen daher als Begrifflichkeit </w:t>
      </w:r>
      <w:r w:rsidRPr="00D03692">
        <w:rPr>
          <w:b/>
        </w:rPr>
        <w:t>besondere Notlage</w:t>
      </w:r>
      <w:r w:rsidRPr="00D03692">
        <w:rPr>
          <w:color w:val="C45911" w:themeColor="accent2" w:themeShade="BF"/>
        </w:rPr>
        <w:t xml:space="preserve"> </w:t>
      </w:r>
      <w:r>
        <w:rPr>
          <w:color w:val="C45911" w:themeColor="accent2" w:themeShade="BF"/>
        </w:rPr>
        <w:t>vor.</w:t>
      </w:r>
      <w:r>
        <w:rPr>
          <w:color w:val="C45911" w:themeColor="accent2" w:themeShade="BF"/>
        </w:rPr>
        <w:br/>
      </w:r>
      <w:r w:rsidRPr="00D03692">
        <w:rPr>
          <w:color w:val="C45911" w:themeColor="accent2" w:themeShade="BF"/>
        </w:rPr>
        <w:t>Dies</w:t>
      </w:r>
      <w:r>
        <w:rPr>
          <w:color w:val="C45911" w:themeColor="accent2" w:themeShade="BF"/>
        </w:rPr>
        <w:t>e</w:t>
      </w:r>
      <w:r w:rsidRPr="00D03692">
        <w:rPr>
          <w:color w:val="C45911" w:themeColor="accent2" w:themeShade="BF"/>
        </w:rPr>
        <w:t xml:space="preserve"> zu beurteilen </w:t>
      </w:r>
      <w:proofErr w:type="gramStart"/>
      <w:r w:rsidRPr="00D03692">
        <w:rPr>
          <w:color w:val="C45911" w:themeColor="accent2" w:themeShade="BF"/>
        </w:rPr>
        <w:t>setzt</w:t>
      </w:r>
      <w:proofErr w:type="gramEnd"/>
      <w:r w:rsidRPr="00D03692">
        <w:rPr>
          <w:color w:val="C45911" w:themeColor="accent2" w:themeShade="BF"/>
        </w:rPr>
        <w:t xml:space="preserve"> umfangreiche soziokulturelle Kenntnisse beim Berater und intensive sozialpsychologische Beratungsgespräche voraus und lässt sich nur unzulänglich dokumentieren und qualifizieren. Daher haben wir schon im Gespräch mit den Revisor*innen vorgeschlagen, die Prüfung der eingereichten Unterlagen und die Sozialberatung zu trennen. </w:t>
      </w:r>
      <w:r>
        <w:rPr>
          <w:color w:val="C45911" w:themeColor="accent2" w:themeShade="BF"/>
        </w:rPr>
        <w:br/>
      </w:r>
      <w:r w:rsidRPr="00D03692">
        <w:t>Die oft prekäre Situation Studierender aus Nicht-EU-Ländern und hierbei insbesondere aus Herkunftsländern, die als Krisengebiete oder Entwicklungsländer bezeichnet werden</w:t>
      </w:r>
      <w:r w:rsidR="005C79F0">
        <w:t>,</w:t>
      </w:r>
      <w:r w:rsidRPr="00D03692">
        <w:t xml:space="preserve"> kann nicht objektivierbar beurteilt werden, insbesondere mit den vorhandenen Personalressourcen. Hier gilt Glauben und Vertrauen auf die Ehrlichkeit! Ein vollständig überprüfbares Vergabesystem einzuführen, was jeglichen Missbrauch kirchlicher Finanzmittel ausschließt, ist ein unerreichbares Ziel</w:t>
      </w:r>
      <w:r w:rsidR="005C79F0">
        <w:t>!</w:t>
      </w:r>
    </w:p>
    <w:p w14:paraId="1F7AF166" w14:textId="77777777" w:rsidR="00D03692" w:rsidRPr="00D03692" w:rsidRDefault="00D03692">
      <w:r>
        <w:rPr>
          <w:color w:val="C45911" w:themeColor="accent2" w:themeShade="BF"/>
        </w:rPr>
        <w:t xml:space="preserve">Wir sind allerdings der Meinung, dass die </w:t>
      </w:r>
      <w:r w:rsidRPr="00D03692">
        <w:t xml:space="preserve">Beihilfe in </w:t>
      </w:r>
      <w:r w:rsidRPr="008F440B">
        <w:t>besondere</w:t>
      </w:r>
      <w:r>
        <w:t>n</w:t>
      </w:r>
      <w:r w:rsidRPr="008F440B">
        <w:t xml:space="preserve"> Notlage</w:t>
      </w:r>
      <w:r>
        <w:t>n</w:t>
      </w:r>
      <w:r>
        <w:rPr>
          <w:color w:val="C45911" w:themeColor="accent2" w:themeShade="BF"/>
        </w:rPr>
        <w:t xml:space="preserve"> erhalten bleiben muss, auch wenn die Beurteilung in einigen Fällen schwierig ist.</w:t>
      </w:r>
      <w:r>
        <w:rPr>
          <w:color w:val="C45911" w:themeColor="accent2" w:themeShade="BF"/>
        </w:rPr>
        <w:br/>
      </w:r>
      <w:r w:rsidRPr="00D03692">
        <w:lastRenderedPageBreak/>
        <w:t xml:space="preserve">Die Idee einer Umschichtung zum </w:t>
      </w:r>
      <w:r w:rsidRPr="00D03692">
        <w:rPr>
          <w:b/>
        </w:rPr>
        <w:t>Stipendienfonds</w:t>
      </w:r>
      <w:r w:rsidRPr="00D03692">
        <w:t xml:space="preserve"> bindet die Notleidenden an nachweisbare soziale Leistungen. Dies ist in der Akuthilfe unbrauchbar und der Motivation</w:t>
      </w:r>
      <w:r>
        <w:t>,</w:t>
      </w:r>
      <w:r w:rsidRPr="00D03692">
        <w:t xml:space="preserve"> mit der die geforderte Leistung </w:t>
      </w:r>
      <w:r w:rsidR="00EC152B">
        <w:rPr>
          <w:noProof/>
          <w:lang w:eastAsia="de-DE"/>
        </w:rPr>
        <mc:AlternateContent>
          <mc:Choice Requires="wps">
            <w:drawing>
              <wp:anchor distT="0" distB="0" distL="114300" distR="114300" simplePos="0" relativeHeight="251659264" behindDoc="0" locked="0" layoutInCell="1" allowOverlap="1" wp14:anchorId="3DC10ED2" wp14:editId="326266DB">
                <wp:simplePos x="0" y="0"/>
                <wp:positionH relativeFrom="column">
                  <wp:posOffset>-185420</wp:posOffset>
                </wp:positionH>
                <wp:positionV relativeFrom="paragraph">
                  <wp:posOffset>567055</wp:posOffset>
                </wp:positionV>
                <wp:extent cx="247650" cy="285750"/>
                <wp:effectExtent l="0" t="0" r="38100" b="38100"/>
                <wp:wrapNone/>
                <wp:docPr id="1" name="Halber Rahmen 1"/>
                <wp:cNvGraphicFramePr/>
                <a:graphic xmlns:a="http://schemas.openxmlformats.org/drawingml/2006/main">
                  <a:graphicData uri="http://schemas.microsoft.com/office/word/2010/wordprocessingShape">
                    <wps:wsp>
                      <wps:cNvSpPr/>
                      <wps:spPr>
                        <a:xfrm>
                          <a:off x="0" y="0"/>
                          <a:ext cx="247650" cy="285750"/>
                        </a:xfrm>
                        <a:prstGeom prst="halfFrame">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74972" id="Halber Rahmen 1" o:spid="_x0000_s1026" style="position:absolute;margin-left:-14.6pt;margin-top:44.65pt;width:19.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4765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" path="m,l247650,,176107,82549r-93558,l82549,190501,,285750,,xe" fillcolor="#ffc000 [3207]" strokecolor="#7f5f00 [1607]" strokeweight="1pt">
                <v:stroke joinstyle="miter"/>
                <v:path arrowok="t" o:connecttype="custom" o:connectlocs="0,0;247650,0;176107,82549;82549,82549;82549,190501;0,285750;0,0" o:connectangles="0,0,0,0,0,0,0"/>
              </v:shape>
            </w:pict>
          </mc:Fallback>
        </mc:AlternateContent>
      </w:r>
      <w:r w:rsidRPr="00D03692">
        <w:t>erbracht wird, eher abträglich.</w:t>
      </w:r>
    </w:p>
    <w:p w14:paraId="4A8B8D80" w14:textId="77777777" w:rsidR="00D03692" w:rsidRDefault="00EC152B">
      <w:pPr>
        <w:rPr>
          <w:color w:val="C45911" w:themeColor="accent2" w:themeShade="BF"/>
        </w:rPr>
      </w:pPr>
      <w:r>
        <w:rPr>
          <w:noProof/>
          <w:color w:val="C45911" w:themeColor="accent2" w:themeShade="BF"/>
          <w:lang w:eastAsia="de-DE"/>
        </w:rPr>
        <mc:AlternateContent>
          <mc:Choice Requires="wps">
            <w:drawing>
              <wp:anchor distT="0" distB="0" distL="114300" distR="114300" simplePos="0" relativeHeight="251660288" behindDoc="0" locked="0" layoutInCell="1" allowOverlap="1" wp14:anchorId="77B4663B" wp14:editId="5EC2DD64">
                <wp:simplePos x="0" y="0"/>
                <wp:positionH relativeFrom="column">
                  <wp:posOffset>5720080</wp:posOffset>
                </wp:positionH>
                <wp:positionV relativeFrom="paragraph">
                  <wp:posOffset>1113790</wp:posOffset>
                </wp:positionV>
                <wp:extent cx="295275" cy="247650"/>
                <wp:effectExtent l="0" t="0" r="47625" b="38100"/>
                <wp:wrapNone/>
                <wp:docPr id="2" name="Halber Rahmen 2"/>
                <wp:cNvGraphicFramePr/>
                <a:graphic xmlns:a="http://schemas.openxmlformats.org/drawingml/2006/main">
                  <a:graphicData uri="http://schemas.microsoft.com/office/word/2010/wordprocessingShape">
                    <wps:wsp>
                      <wps:cNvSpPr/>
                      <wps:spPr>
                        <a:xfrm>
                          <a:off x="0" y="0"/>
                          <a:ext cx="295275" cy="247650"/>
                        </a:xfrm>
                        <a:prstGeom prst="halfFrame">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BFF9FA" id="Halber Rahmen 2" o:spid="_x0000_s1026" style="position:absolute;margin-left:450.4pt;margin-top:87.7pt;width:23.2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95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" path="m,l295275,,196851,82549r-114302,l82549,178415,,247650,,xe" fillcolor="#ffc000 [3207]" strokecolor="#7f5f00 [1607]" strokeweight="1pt">
                <v:stroke joinstyle="miter"/>
                <v:path arrowok="t" o:connecttype="custom" o:connectlocs="0,0;295275,0;196851,82549;82549,82549;82549,178415;0,247650;0,0" o:connectangles="0,0,0,0,0,0,0"/>
              </v:shape>
            </w:pict>
          </mc:Fallback>
        </mc:AlternateContent>
      </w:r>
      <w:r w:rsidR="00D03692">
        <w:rPr>
          <w:color w:val="C45911" w:themeColor="accent2" w:themeShade="BF"/>
        </w:rPr>
        <w:t xml:space="preserve">Letztlich ist hier die (pastorale) </w:t>
      </w:r>
      <w:r w:rsidR="00D03692" w:rsidRPr="00D03692">
        <w:rPr>
          <w:b/>
          <w:color w:val="C45911" w:themeColor="accent2" w:themeShade="BF"/>
        </w:rPr>
        <w:t>Grundentscheidung</w:t>
      </w:r>
      <w:r w:rsidR="00D03692">
        <w:rPr>
          <w:color w:val="C45911" w:themeColor="accent2" w:themeShade="BF"/>
        </w:rPr>
        <w:t xml:space="preserve"> zu fällen, ob dieser Bereich der Notlagen-Hilfe zur Aufgabe einer sorgenden Hochschulgemeinde gehört und daher im Budget entsprechend verankert ist, oder ob sich das Bistum aus dieser diakonischen Aufgabe </w:t>
      </w:r>
      <w:commentRangeStart w:id="3"/>
      <w:r w:rsidR="00D03692">
        <w:rPr>
          <w:color w:val="C45911" w:themeColor="accent2" w:themeShade="BF"/>
        </w:rPr>
        <w:t>zurückzieht</w:t>
      </w:r>
      <w:commentRangeEnd w:id="3"/>
      <w:r>
        <w:rPr>
          <w:rStyle w:val="Kommentarzeichen"/>
        </w:rPr>
        <w:commentReference w:id="3"/>
      </w:r>
      <w:r w:rsidR="00D03692">
        <w:rPr>
          <w:color w:val="C45911" w:themeColor="accent2" w:themeShade="BF"/>
        </w:rPr>
        <w:t>.</w:t>
      </w:r>
      <w:r w:rsidR="00D03692">
        <w:rPr>
          <w:color w:val="C45911" w:themeColor="accent2" w:themeShade="BF"/>
        </w:rPr>
        <w:br/>
        <w:t>Wir, die täglich mit der Not dieser Menschen konfrontiert sind, plädieren für die Beibehaltung der (ablaufoptimierten) Praxis</w:t>
      </w:r>
      <w:r>
        <w:rPr>
          <w:color w:val="C45911" w:themeColor="accent2" w:themeShade="BF"/>
        </w:rPr>
        <w:t>, da die notwendige Erfahrung, das soziokulturelle Knowhow und die sozialpsychologische Beraterkompetenz in der KHG über die Jahre gewachsen und vorhanden ist</w:t>
      </w:r>
      <w:r w:rsidR="00D03692">
        <w:rPr>
          <w:color w:val="C45911" w:themeColor="accent2" w:themeShade="BF"/>
        </w:rPr>
        <w:t>.</w:t>
      </w:r>
    </w:p>
    <w:p w14:paraId="66C05139" w14:textId="77777777" w:rsidR="00D03692" w:rsidRPr="00E04C93" w:rsidRDefault="005C79F0">
      <w:pPr>
        <w:rPr>
          <w:b/>
        </w:rPr>
      </w:pPr>
      <w:r w:rsidRPr="00E04C93">
        <w:rPr>
          <w:b/>
        </w:rPr>
        <w:t>3.- Das Grundanliegen der Internen Innenrevision und die vorgelegten Ergebnisse und Empfehlungen</w:t>
      </w:r>
    </w:p>
    <w:p w14:paraId="7AF8DCDB" w14:textId="77777777" w:rsidR="005C79F0" w:rsidRPr="00E04C93" w:rsidRDefault="005C79F0">
      <w:r w:rsidRPr="00E04C93">
        <w:t>Der Bericht benennt als Ziel der internen Revisionsprüfung (S. 1):</w:t>
      </w:r>
    </w:p>
    <w:p w14:paraId="383DC601" w14:textId="77777777" w:rsidR="005C79F0" w:rsidRDefault="005C79F0" w:rsidP="00E04C93">
      <w:pPr>
        <w:pBdr>
          <w:left w:val="single" w:sz="4" w:space="4" w:color="auto"/>
        </w:pBdr>
        <w:rPr>
          <w:rFonts w:cs="Arial"/>
        </w:rPr>
      </w:pPr>
      <w:r w:rsidRPr="00E04C93">
        <w:rPr>
          <w:rFonts w:cs="Arial"/>
        </w:rPr>
        <w:t>Ordnungsmäßigkeit des baren und unbaren Zahlungsverkehrs inklusive Kassensturz, Förderwesen (Beihilfefonds, Stipendien), Mitteleinwerbung von Spenden und weiterer Fördermittel / Einnahmequellen (u.a. Bistumsmitteln) sowie der Schnittstelle KHG und STW</w:t>
      </w:r>
    </w:p>
    <w:p w14:paraId="34E1E55D" w14:textId="77777777" w:rsidR="005C79F0" w:rsidRPr="00F50328" w:rsidRDefault="00E04C93">
      <w:r w:rsidRPr="00F50328">
        <w:t>Wir haben an einigen Stellen</w:t>
      </w:r>
      <w:r w:rsidR="005C79F0" w:rsidRPr="00F50328">
        <w:t xml:space="preserve"> </w:t>
      </w:r>
      <w:r w:rsidR="0002720C" w:rsidRPr="00F50328">
        <w:t xml:space="preserve">des Prüfungsberichtes </w:t>
      </w:r>
      <w:r w:rsidR="00EC152B">
        <w:t xml:space="preserve">den Eindruck </w:t>
      </w:r>
      <w:r w:rsidR="0002720C" w:rsidRPr="00F50328">
        <w:t xml:space="preserve">und haben dies auch bei den Interviews erlebt, dass auch pastorales Arbeiten und damit der Grundauftrag der Katholischen Hochschulgemeinde und des Studentenwerkes wie er im </w:t>
      </w:r>
      <w:r w:rsidR="0002720C" w:rsidRPr="00F50328">
        <w:rPr>
          <w:b/>
        </w:rPr>
        <w:t>Konzept für die Hochschulpastoral im Bistum Aachen</w:t>
      </w:r>
      <w:r w:rsidR="0002720C" w:rsidRPr="00F50328">
        <w:t xml:space="preserve"> grundgelegt ist, in Frage gestellt wird.</w:t>
      </w:r>
    </w:p>
    <w:p w14:paraId="5928E1D2" w14:textId="77777777" w:rsidR="0002720C" w:rsidRDefault="0002720C">
      <w:pPr>
        <w:rPr>
          <w:color w:val="C45911" w:themeColor="accent2" w:themeShade="BF"/>
        </w:rPr>
      </w:pPr>
      <w:r>
        <w:rPr>
          <w:color w:val="C45911" w:themeColor="accent2" w:themeShade="BF"/>
        </w:rPr>
        <w:t xml:space="preserve">Die Ausgestaltung dieses unseres Auftrages und damit die Ziele pastoralen Handelns in der Hochschulpastoral können nicht Gegenstand der Prüfung der </w:t>
      </w:r>
      <w:r w:rsidRPr="0002720C">
        <w:rPr>
          <w:b/>
        </w:rPr>
        <w:t>Internen Revision</w:t>
      </w:r>
      <w:r w:rsidRPr="0002720C">
        <w:t xml:space="preserve"> </w:t>
      </w:r>
      <w:r>
        <w:rPr>
          <w:color w:val="C45911" w:themeColor="accent2" w:themeShade="BF"/>
        </w:rPr>
        <w:t xml:space="preserve">sein. Dies ist </w:t>
      </w:r>
      <w:r w:rsidR="00F50328">
        <w:rPr>
          <w:color w:val="C45911" w:themeColor="accent2" w:themeShade="BF"/>
        </w:rPr>
        <w:t xml:space="preserve">der vorgesetzten </w:t>
      </w:r>
      <w:r w:rsidR="00F50328" w:rsidRPr="00F50328">
        <w:t xml:space="preserve">Hauptabteilung 1 und der zuständigen Fachabteilung 1.2 </w:t>
      </w:r>
      <w:r w:rsidR="00F50328">
        <w:rPr>
          <w:color w:val="C45911" w:themeColor="accent2" w:themeShade="BF"/>
        </w:rPr>
        <w:t>vorbehalten</w:t>
      </w:r>
    </w:p>
    <w:p w14:paraId="106C289B" w14:textId="77777777" w:rsidR="00F50328" w:rsidRDefault="00F50328">
      <w:pPr>
        <w:rPr>
          <w:color w:val="C45911" w:themeColor="accent2" w:themeShade="BF"/>
        </w:rPr>
      </w:pPr>
      <w:r>
        <w:rPr>
          <w:color w:val="C45911" w:themeColor="accent2" w:themeShade="BF"/>
        </w:rPr>
        <w:t xml:space="preserve">Von daher verwehren wir uns gegen die an einigen Stellen des Berichtes geäußerten(z.B. </w:t>
      </w:r>
      <w:r w:rsidR="00771335">
        <w:rPr>
          <w:color w:val="C45911" w:themeColor="accent2" w:themeShade="BF"/>
        </w:rPr>
        <w:t xml:space="preserve">S.5 , Z 32-38/ </w:t>
      </w:r>
      <w:r w:rsidR="00696FBE">
        <w:rPr>
          <w:color w:val="C45911" w:themeColor="accent2" w:themeShade="BF"/>
        </w:rPr>
        <w:t xml:space="preserve">Bewertung S.19/ </w:t>
      </w:r>
      <w:r w:rsidR="00EC152B">
        <w:rPr>
          <w:color w:val="C45911" w:themeColor="accent2" w:themeShade="BF"/>
        </w:rPr>
        <w:t>Bewertung</w:t>
      </w:r>
      <w:r w:rsidR="00696FBE">
        <w:rPr>
          <w:color w:val="C45911" w:themeColor="accent2" w:themeShade="BF"/>
        </w:rPr>
        <w:t xml:space="preserve"> S.23, …</w:t>
      </w:r>
      <w:r w:rsidR="00771335">
        <w:rPr>
          <w:color w:val="C45911" w:themeColor="accent2" w:themeShade="BF"/>
        </w:rPr>
        <w:t>)</w:t>
      </w:r>
      <w:r>
        <w:rPr>
          <w:color w:val="C45911" w:themeColor="accent2" w:themeShade="BF"/>
        </w:rPr>
        <w:t xml:space="preserve"> Mutmaßungen und inhaltlichen Wertungen, da unsere pastorale Praxis in Zusammenarbeit mit den anderen hochschulpastoralen Zentren reflektiert und in enger Zusammenarbeit mit der Fachabteilung weiterentwickelt wird, orientiert an und im Rahmen der Gesamtpastoralen Grundlinien des Bistum Aachen.</w:t>
      </w:r>
    </w:p>
    <w:p w14:paraId="205E8AB1" w14:textId="77777777" w:rsidR="00F50328" w:rsidRPr="00B96820" w:rsidRDefault="00F50328">
      <w:r w:rsidRPr="00B96820">
        <w:t>Wir wünschen</w:t>
      </w:r>
      <w:r w:rsidR="00771335" w:rsidRPr="00B96820">
        <w:t xml:space="preserve"> uns für die Verwaltungsabläufe, die ja Gegenstand der Prüfung waren, </w:t>
      </w:r>
      <w:r w:rsidRPr="00B96820">
        <w:t xml:space="preserve">praktikable Richtlinien, die </w:t>
      </w:r>
      <w:r w:rsidR="00771335" w:rsidRPr="00B96820">
        <w:t>Rücksicht nehmen auf die besonderen Bedingungen der situationsbezogenen Seelsorge und die dennoch einer kundenorientierten und effektiven Verwaltung entsprechen.</w:t>
      </w:r>
    </w:p>
    <w:p w14:paraId="65FB6D9C" w14:textId="77777777" w:rsidR="00B96820" w:rsidRDefault="00B96820">
      <w:pPr>
        <w:rPr>
          <w:color w:val="C45911" w:themeColor="accent2" w:themeShade="BF"/>
        </w:rPr>
      </w:pPr>
    </w:p>
    <w:p w14:paraId="79A8D42F" w14:textId="77777777" w:rsidR="00B96820" w:rsidRPr="00B96820" w:rsidRDefault="00B96820">
      <w:r w:rsidRPr="00B96820">
        <w:t>Für das Team der Katholischen Hochschulgemeinde</w:t>
      </w:r>
    </w:p>
    <w:p w14:paraId="5CE0F919" w14:textId="77777777" w:rsidR="00B96820" w:rsidRPr="00B96820" w:rsidRDefault="00B96820">
      <w:r w:rsidRPr="00B96820">
        <w:rPr>
          <w:i/>
        </w:rPr>
        <w:t>Christo</w:t>
      </w:r>
      <w:bookmarkStart w:id="4" w:name="_GoBack"/>
      <w:bookmarkEnd w:id="4"/>
      <w:r w:rsidRPr="00B96820">
        <w:rPr>
          <w:i/>
        </w:rPr>
        <w:t>ph Simonsen</w:t>
      </w:r>
      <w:r w:rsidRPr="00B96820">
        <w:t>, leitender Hoc</w:t>
      </w:r>
      <w:r>
        <w:t>h</w:t>
      </w:r>
      <w:r w:rsidRPr="00B96820">
        <w:t>schulpfarrer</w:t>
      </w:r>
    </w:p>
    <w:sectPr w:rsidR="00B96820" w:rsidRPr="00B96820">
      <w:headerReference w:type="default" r:id="rId9"/>
      <w:footerReference w:type="default" r:id="rId1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uido Schürenberg" w:date="2018-05-04T09:37:00Z" w:initials="GS">
    <w:p w14:paraId="74B43E2F" w14:textId="77777777" w:rsidR="00EC152B" w:rsidRDefault="00EC152B">
      <w:pPr>
        <w:pStyle w:val="Kommentartext"/>
      </w:pPr>
      <w:r>
        <w:rPr>
          <w:rStyle w:val="Kommentarzeichen"/>
        </w:rPr>
        <w:annotationRef/>
      </w:r>
      <w:r>
        <w:t xml:space="preserve">Über diese strategische Aussage und ihre Risiken sollten wir im Dienstgespräch </w:t>
      </w:r>
      <w:proofErr w:type="spellStart"/>
      <w:r>
        <w:t>sprechensprechen</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B43E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C363" w14:textId="77777777" w:rsidR="001B63AE" w:rsidRDefault="001B63AE" w:rsidP="001B63AE">
      <w:pPr>
        <w:spacing w:after="0" w:line="240" w:lineRule="auto"/>
      </w:pPr>
      <w:r>
        <w:separator/>
      </w:r>
    </w:p>
  </w:endnote>
  <w:endnote w:type="continuationSeparator" w:id="0">
    <w:p w14:paraId="3ECD46EB" w14:textId="77777777" w:rsidR="001B63AE" w:rsidRDefault="001B63AE" w:rsidP="001B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1B63AE" w14:paraId="29EB5058" w14:textId="77777777">
      <w:trPr>
        <w:jc w:val="right"/>
      </w:trPr>
      <w:tc>
        <w:tcPr>
          <w:tcW w:w="4795" w:type="dxa"/>
          <w:vAlign w:val="center"/>
        </w:tcPr>
        <w:sdt>
          <w:sdtPr>
            <w:rPr>
              <w:caps/>
              <w:color w:val="000000" w:themeColor="text1"/>
            </w:rPr>
            <w:alias w:val="Autor"/>
            <w:tag w:val=""/>
            <w:id w:val="1534539408"/>
            <w:placeholder>
              <w:docPart w:val="CE55094F87CF44D0A78E0763F5C02F88"/>
            </w:placeholder>
            <w:dataBinding w:prefixMappings="xmlns:ns0='http://purl.org/dc/elements/1.1/' xmlns:ns1='http://schemas.openxmlformats.org/package/2006/metadata/core-properties' " w:xpath="/ns1:coreProperties[1]/ns0:creator[1]" w:storeItemID="{6C3C8BC8-F283-45AE-878A-BAB7291924A1}"/>
            <w:text/>
          </w:sdtPr>
          <w:sdtEndPr/>
          <w:sdtContent>
            <w:p w14:paraId="18DE5D22" w14:textId="77777777" w:rsidR="001B63AE" w:rsidRDefault="001B63AE" w:rsidP="001B63AE">
              <w:pPr>
                <w:pStyle w:val="Kopfzeile"/>
                <w:jc w:val="right"/>
                <w:rPr>
                  <w:caps/>
                  <w:color w:val="000000" w:themeColor="text1"/>
                </w:rPr>
              </w:pPr>
              <w:r>
                <w:rPr>
                  <w:caps/>
                  <w:color w:val="000000" w:themeColor="text1"/>
                </w:rPr>
                <w:t>Katholische Hochschulgemeinde Aachen</w:t>
              </w:r>
            </w:p>
          </w:sdtContent>
        </w:sdt>
      </w:tc>
      <w:tc>
        <w:tcPr>
          <w:tcW w:w="250" w:type="pct"/>
          <w:shd w:val="clear" w:color="auto" w:fill="ED7D31" w:themeFill="accent2"/>
          <w:vAlign w:val="center"/>
        </w:tcPr>
        <w:p w14:paraId="25A79AD3" w14:textId="77777777" w:rsidR="001B63AE" w:rsidRDefault="001B63AE">
          <w:pPr>
            <w:pStyle w:val="Fuzeil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B96820">
            <w:rPr>
              <w:noProof/>
              <w:color w:val="FFFFFF" w:themeColor="background1"/>
            </w:rPr>
            <w:t>3</w:t>
          </w:r>
          <w:r>
            <w:rPr>
              <w:color w:val="FFFFFF" w:themeColor="background1"/>
            </w:rPr>
            <w:fldChar w:fldCharType="end"/>
          </w:r>
        </w:p>
      </w:tc>
    </w:tr>
  </w:tbl>
  <w:p w14:paraId="43760295" w14:textId="77777777" w:rsidR="001B63AE" w:rsidRDefault="001B63A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8035E" w14:textId="77777777" w:rsidR="001B63AE" w:rsidRDefault="001B63AE" w:rsidP="001B63AE">
      <w:pPr>
        <w:spacing w:after="0" w:line="240" w:lineRule="auto"/>
      </w:pPr>
      <w:r>
        <w:separator/>
      </w:r>
    </w:p>
  </w:footnote>
  <w:footnote w:type="continuationSeparator" w:id="0">
    <w:p w14:paraId="1AE85892" w14:textId="77777777" w:rsidR="001B63AE" w:rsidRDefault="001B63AE" w:rsidP="001B6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8A8CC" w14:textId="77777777" w:rsidR="001B63AE" w:rsidRPr="001B63AE" w:rsidRDefault="001B63AE" w:rsidP="001B63AE">
    <w:pPr>
      <w:pStyle w:val="Kopfzeile"/>
      <w:pBdr>
        <w:bottom w:val="single" w:sz="4" w:space="1" w:color="auto"/>
      </w:pBdr>
      <w:jc w:val="center"/>
      <w:rPr>
        <w:rFonts w:ascii="Cambria" w:hAnsi="Cambria"/>
        <w:sz w:val="26"/>
        <w:szCs w:val="26"/>
      </w:rPr>
    </w:pPr>
    <w:r w:rsidRPr="001B63AE">
      <w:rPr>
        <w:rFonts w:ascii="Cambria" w:hAnsi="Cambria"/>
        <w:sz w:val="26"/>
        <w:szCs w:val="26"/>
      </w:rPr>
      <w:t>Stellungnahme des Team</w:t>
    </w:r>
    <w:r w:rsidR="005C79F0">
      <w:rPr>
        <w:rFonts w:ascii="Cambria" w:hAnsi="Cambria"/>
        <w:sz w:val="26"/>
        <w:szCs w:val="26"/>
      </w:rPr>
      <w:t>s</w:t>
    </w:r>
    <w:r w:rsidRPr="001B63AE">
      <w:rPr>
        <w:rFonts w:ascii="Cambria" w:hAnsi="Cambria"/>
        <w:sz w:val="26"/>
        <w:szCs w:val="26"/>
      </w:rPr>
      <w:t xml:space="preserve"> der KHG zum Bericht „Interne Revisionsprüfung Katholische Hochschulgemeinde und Studentenwerk der KHG“ im März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240714"/>
    <w:multiLevelType w:val="hybridMultilevel"/>
    <w:tmpl w:val="B696058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9371A33"/>
    <w:multiLevelType w:val="multilevel"/>
    <w:tmpl w:val="14E4D2D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3551"/>
        </w:tabs>
        <w:ind w:left="3551" w:hanging="432"/>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pStyle w:val="berschrift4"/>
      <w:lvlText w:val="%1.%2.%3.%4."/>
      <w:lvlJc w:val="left"/>
      <w:pPr>
        <w:tabs>
          <w:tab w:val="num" w:pos="2160"/>
        </w:tabs>
        <w:ind w:left="1728" w:hanging="648"/>
      </w:pPr>
      <w:rPr>
        <w:rFonts w:ascii="Arial" w:hAnsi="Aria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B325BC6"/>
    <w:multiLevelType w:val="hybridMultilevel"/>
    <w:tmpl w:val="B69605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76006C"/>
    <w:multiLevelType w:val="hybridMultilevel"/>
    <w:tmpl w:val="9D648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ido Schürenberg">
    <w15:presenceInfo w15:providerId="None" w15:userId="Guido Schüren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AE"/>
    <w:rsid w:val="0002720C"/>
    <w:rsid w:val="00062493"/>
    <w:rsid w:val="001B63AE"/>
    <w:rsid w:val="002C214C"/>
    <w:rsid w:val="005C79F0"/>
    <w:rsid w:val="00606993"/>
    <w:rsid w:val="00696FBE"/>
    <w:rsid w:val="00771335"/>
    <w:rsid w:val="00922275"/>
    <w:rsid w:val="00A46F5A"/>
    <w:rsid w:val="00B96820"/>
    <w:rsid w:val="00D03692"/>
    <w:rsid w:val="00E04C93"/>
    <w:rsid w:val="00EC152B"/>
    <w:rsid w:val="00F503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CDD4E"/>
  <w15:chartTrackingRefBased/>
  <w15:docId w15:val="{D3B21312-7BD9-4463-A33C-1F564C35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9"/>
    <w:qFormat/>
    <w:rsid w:val="00D03692"/>
    <w:pPr>
      <w:keepNext/>
      <w:numPr>
        <w:numId w:val="2"/>
      </w:numPr>
      <w:spacing w:before="360" w:after="60" w:line="280" w:lineRule="atLeast"/>
      <w:jc w:val="both"/>
      <w:outlineLvl w:val="0"/>
    </w:pPr>
    <w:rPr>
      <w:rFonts w:ascii="Arial" w:eastAsia="Times New Roman" w:hAnsi="Arial" w:cs="Times New Roman"/>
      <w:b/>
      <w:kern w:val="28"/>
      <w:sz w:val="24"/>
      <w:szCs w:val="20"/>
    </w:rPr>
  </w:style>
  <w:style w:type="paragraph" w:styleId="berschrift2">
    <w:name w:val="heading 2"/>
    <w:basedOn w:val="Standard"/>
    <w:next w:val="Standard"/>
    <w:link w:val="berschrift2Zchn"/>
    <w:uiPriority w:val="99"/>
    <w:qFormat/>
    <w:rsid w:val="00D03692"/>
    <w:pPr>
      <w:keepNext/>
      <w:numPr>
        <w:ilvl w:val="1"/>
        <w:numId w:val="2"/>
      </w:numPr>
      <w:tabs>
        <w:tab w:val="clear" w:pos="3551"/>
        <w:tab w:val="num" w:pos="792"/>
      </w:tabs>
      <w:spacing w:before="240" w:after="60" w:line="280" w:lineRule="atLeast"/>
      <w:ind w:left="792"/>
      <w:jc w:val="both"/>
      <w:outlineLvl w:val="1"/>
    </w:pPr>
    <w:rPr>
      <w:rFonts w:ascii="Arial" w:eastAsia="Times New Roman" w:hAnsi="Arial" w:cs="Times New Roman"/>
      <w:b/>
      <w:szCs w:val="20"/>
    </w:rPr>
  </w:style>
  <w:style w:type="paragraph" w:styleId="berschrift3">
    <w:name w:val="heading 3"/>
    <w:basedOn w:val="Standard"/>
    <w:next w:val="Standard"/>
    <w:link w:val="berschrift3Zchn"/>
    <w:uiPriority w:val="99"/>
    <w:qFormat/>
    <w:rsid w:val="00D03692"/>
    <w:pPr>
      <w:keepNext/>
      <w:numPr>
        <w:ilvl w:val="2"/>
        <w:numId w:val="2"/>
      </w:numPr>
      <w:tabs>
        <w:tab w:val="clear" w:pos="1440"/>
        <w:tab w:val="num" w:pos="1418"/>
      </w:tabs>
      <w:spacing w:before="240" w:after="60" w:line="280" w:lineRule="atLeast"/>
      <w:ind w:left="1418" w:hanging="698"/>
      <w:jc w:val="both"/>
      <w:outlineLvl w:val="2"/>
    </w:pPr>
    <w:rPr>
      <w:rFonts w:ascii="Arial" w:eastAsia="Times New Roman" w:hAnsi="Arial" w:cs="Times New Roman"/>
      <w:b/>
      <w:szCs w:val="20"/>
      <w:lang w:val="en-GB"/>
    </w:rPr>
  </w:style>
  <w:style w:type="paragraph" w:styleId="berschrift4">
    <w:name w:val="heading 4"/>
    <w:basedOn w:val="Standard"/>
    <w:next w:val="Standard"/>
    <w:link w:val="berschrift4Zchn"/>
    <w:uiPriority w:val="99"/>
    <w:qFormat/>
    <w:rsid w:val="00D03692"/>
    <w:pPr>
      <w:keepNext/>
      <w:numPr>
        <w:ilvl w:val="3"/>
        <w:numId w:val="2"/>
      </w:numPr>
      <w:tabs>
        <w:tab w:val="clear" w:pos="2160"/>
        <w:tab w:val="num" w:pos="2268"/>
      </w:tabs>
      <w:spacing w:before="240" w:after="60" w:line="280" w:lineRule="atLeast"/>
      <w:ind w:left="2268" w:hanging="931"/>
      <w:jc w:val="both"/>
      <w:outlineLvl w:val="3"/>
    </w:pPr>
    <w:rPr>
      <w:rFonts w:ascii="Arial" w:eastAsia="Times New Roman" w:hAnsi="Arial" w:cs="Times New Roman"/>
      <w:b/>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63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63AE"/>
  </w:style>
  <w:style w:type="paragraph" w:styleId="Fuzeile">
    <w:name w:val="footer"/>
    <w:basedOn w:val="Standard"/>
    <w:link w:val="FuzeileZchn"/>
    <w:uiPriority w:val="99"/>
    <w:unhideWhenUsed/>
    <w:rsid w:val="001B63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63AE"/>
  </w:style>
  <w:style w:type="paragraph" w:styleId="Listenabsatz">
    <w:name w:val="List Paragraph"/>
    <w:basedOn w:val="Standard"/>
    <w:uiPriority w:val="34"/>
    <w:qFormat/>
    <w:rsid w:val="00D03692"/>
    <w:pPr>
      <w:ind w:left="720"/>
      <w:contextualSpacing/>
    </w:pPr>
  </w:style>
  <w:style w:type="paragraph" w:customStyle="1" w:styleId="Standardfettblau">
    <w:name w:val="Standard fett blau"/>
    <w:basedOn w:val="Standard"/>
    <w:uiPriority w:val="99"/>
    <w:rsid w:val="00D03692"/>
    <w:pPr>
      <w:keepNext/>
      <w:tabs>
        <w:tab w:val="left" w:pos="567"/>
      </w:tabs>
      <w:spacing w:before="80" w:after="60" w:line="280" w:lineRule="atLeast"/>
      <w:jc w:val="both"/>
    </w:pPr>
    <w:rPr>
      <w:rFonts w:ascii="Arial" w:eastAsia="Times New Roman" w:hAnsi="Arial" w:cs="Times New Roman"/>
      <w:b/>
      <w:color w:val="000080"/>
      <w:szCs w:val="20"/>
    </w:rPr>
  </w:style>
  <w:style w:type="character" w:styleId="Kommentarzeichen">
    <w:name w:val="annotation reference"/>
    <w:rsid w:val="00D03692"/>
    <w:rPr>
      <w:sz w:val="16"/>
      <w:szCs w:val="16"/>
    </w:rPr>
  </w:style>
  <w:style w:type="paragraph" w:styleId="Sprechblasentext">
    <w:name w:val="Balloon Text"/>
    <w:basedOn w:val="Standard"/>
    <w:link w:val="SprechblasentextZchn"/>
    <w:uiPriority w:val="99"/>
    <w:semiHidden/>
    <w:unhideWhenUsed/>
    <w:rsid w:val="00D0369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692"/>
    <w:rPr>
      <w:rFonts w:ascii="Segoe UI" w:hAnsi="Segoe UI" w:cs="Segoe UI"/>
      <w:sz w:val="18"/>
      <w:szCs w:val="18"/>
    </w:rPr>
  </w:style>
  <w:style w:type="character" w:customStyle="1" w:styleId="berschrift1Zchn">
    <w:name w:val="Überschrift 1 Zchn"/>
    <w:basedOn w:val="Absatz-Standardschriftart"/>
    <w:link w:val="berschrift1"/>
    <w:uiPriority w:val="99"/>
    <w:rsid w:val="00D03692"/>
    <w:rPr>
      <w:rFonts w:ascii="Arial" w:eastAsia="Times New Roman" w:hAnsi="Arial" w:cs="Times New Roman"/>
      <w:b/>
      <w:kern w:val="28"/>
      <w:sz w:val="24"/>
      <w:szCs w:val="20"/>
    </w:rPr>
  </w:style>
  <w:style w:type="character" w:customStyle="1" w:styleId="berschrift2Zchn">
    <w:name w:val="Überschrift 2 Zchn"/>
    <w:basedOn w:val="Absatz-Standardschriftart"/>
    <w:link w:val="berschrift2"/>
    <w:uiPriority w:val="99"/>
    <w:rsid w:val="00D03692"/>
    <w:rPr>
      <w:rFonts w:ascii="Arial" w:eastAsia="Times New Roman" w:hAnsi="Arial" w:cs="Times New Roman"/>
      <w:b/>
      <w:szCs w:val="20"/>
    </w:rPr>
  </w:style>
  <w:style w:type="character" w:customStyle="1" w:styleId="berschrift3Zchn">
    <w:name w:val="Überschrift 3 Zchn"/>
    <w:basedOn w:val="Absatz-Standardschriftart"/>
    <w:link w:val="berschrift3"/>
    <w:uiPriority w:val="99"/>
    <w:rsid w:val="00D03692"/>
    <w:rPr>
      <w:rFonts w:ascii="Arial" w:eastAsia="Times New Roman" w:hAnsi="Arial" w:cs="Times New Roman"/>
      <w:b/>
      <w:szCs w:val="20"/>
      <w:lang w:val="en-GB"/>
    </w:rPr>
  </w:style>
  <w:style w:type="character" w:customStyle="1" w:styleId="berschrift4Zchn">
    <w:name w:val="Überschrift 4 Zchn"/>
    <w:basedOn w:val="Absatz-Standardschriftart"/>
    <w:link w:val="berschrift4"/>
    <w:uiPriority w:val="99"/>
    <w:rsid w:val="00D03692"/>
    <w:rPr>
      <w:rFonts w:ascii="Arial" w:eastAsia="Times New Roman" w:hAnsi="Arial" w:cs="Times New Roman"/>
      <w:b/>
      <w:szCs w:val="20"/>
      <w:lang w:val="en-GB"/>
    </w:rPr>
  </w:style>
  <w:style w:type="paragraph" w:styleId="Verzeichnis4">
    <w:name w:val="toc 4"/>
    <w:basedOn w:val="Standard"/>
    <w:next w:val="Standard"/>
    <w:semiHidden/>
    <w:rsid w:val="00D03692"/>
    <w:pPr>
      <w:tabs>
        <w:tab w:val="left" w:pos="1701"/>
        <w:tab w:val="right" w:leader="dot" w:pos="9072"/>
      </w:tabs>
      <w:spacing w:before="60" w:after="60" w:line="280" w:lineRule="atLeast"/>
      <w:ind w:left="1701" w:right="849" w:hanging="1041"/>
      <w:jc w:val="both"/>
    </w:pPr>
    <w:rPr>
      <w:rFonts w:ascii="Arial" w:eastAsia="Times New Roman" w:hAnsi="Arial" w:cs="Times New Roman"/>
      <w:noProof/>
      <w:szCs w:val="20"/>
    </w:rPr>
  </w:style>
  <w:style w:type="paragraph" w:styleId="Kommentartext">
    <w:name w:val="annotation text"/>
    <w:basedOn w:val="Standard"/>
    <w:link w:val="KommentartextZchn"/>
    <w:uiPriority w:val="99"/>
    <w:semiHidden/>
    <w:unhideWhenUsed/>
    <w:rsid w:val="00D036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3692"/>
    <w:rPr>
      <w:sz w:val="20"/>
      <w:szCs w:val="20"/>
    </w:rPr>
  </w:style>
  <w:style w:type="paragraph" w:styleId="Kommentarthema">
    <w:name w:val="annotation subject"/>
    <w:basedOn w:val="Kommentartext"/>
    <w:next w:val="Kommentartext"/>
    <w:link w:val="KommentarthemaZchn"/>
    <w:uiPriority w:val="99"/>
    <w:semiHidden/>
    <w:unhideWhenUsed/>
    <w:rsid w:val="00D03692"/>
    <w:rPr>
      <w:b/>
      <w:bCs/>
    </w:rPr>
  </w:style>
  <w:style w:type="character" w:customStyle="1" w:styleId="KommentarthemaZchn">
    <w:name w:val="Kommentarthema Zchn"/>
    <w:basedOn w:val="KommentartextZchn"/>
    <w:link w:val="Kommentarthema"/>
    <w:uiPriority w:val="99"/>
    <w:semiHidden/>
    <w:rsid w:val="00D03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461306">
      <w:bodyDiv w:val="1"/>
      <w:marLeft w:val="0"/>
      <w:marRight w:val="0"/>
      <w:marTop w:val="0"/>
      <w:marBottom w:val="0"/>
      <w:divBdr>
        <w:top w:val="none" w:sz="0" w:space="0" w:color="auto"/>
        <w:left w:val="none" w:sz="0" w:space="0" w:color="auto"/>
        <w:bottom w:val="none" w:sz="0" w:space="0" w:color="auto"/>
        <w:right w:val="none" w:sz="0" w:space="0" w:color="auto"/>
      </w:divBdr>
      <w:divsChild>
        <w:div w:id="794569277">
          <w:marLeft w:val="0"/>
          <w:marRight w:val="0"/>
          <w:marTop w:val="0"/>
          <w:marBottom w:val="0"/>
          <w:divBdr>
            <w:top w:val="none" w:sz="0" w:space="0" w:color="auto"/>
            <w:left w:val="none" w:sz="0" w:space="0" w:color="auto"/>
            <w:bottom w:val="none" w:sz="0" w:space="0" w:color="auto"/>
            <w:right w:val="none" w:sz="0" w:space="0" w:color="auto"/>
          </w:divBdr>
        </w:div>
        <w:div w:id="59181273">
          <w:marLeft w:val="0"/>
          <w:marRight w:val="0"/>
          <w:marTop w:val="0"/>
          <w:marBottom w:val="0"/>
          <w:divBdr>
            <w:top w:val="none" w:sz="0" w:space="0" w:color="auto"/>
            <w:left w:val="none" w:sz="0" w:space="0" w:color="auto"/>
            <w:bottom w:val="none" w:sz="0" w:space="0" w:color="auto"/>
            <w:right w:val="none" w:sz="0" w:space="0" w:color="auto"/>
          </w:divBdr>
        </w:div>
        <w:div w:id="2102027145">
          <w:marLeft w:val="0"/>
          <w:marRight w:val="0"/>
          <w:marTop w:val="0"/>
          <w:marBottom w:val="0"/>
          <w:divBdr>
            <w:top w:val="none" w:sz="0" w:space="0" w:color="auto"/>
            <w:left w:val="none" w:sz="0" w:space="0" w:color="auto"/>
            <w:bottom w:val="none" w:sz="0" w:space="0" w:color="auto"/>
            <w:right w:val="none" w:sz="0" w:space="0" w:color="auto"/>
          </w:divBdr>
        </w:div>
        <w:div w:id="350029424">
          <w:marLeft w:val="0"/>
          <w:marRight w:val="0"/>
          <w:marTop w:val="0"/>
          <w:marBottom w:val="0"/>
          <w:divBdr>
            <w:top w:val="none" w:sz="0" w:space="0" w:color="auto"/>
            <w:left w:val="none" w:sz="0" w:space="0" w:color="auto"/>
            <w:bottom w:val="none" w:sz="0" w:space="0" w:color="auto"/>
            <w:right w:val="none" w:sz="0" w:space="0" w:color="auto"/>
          </w:divBdr>
        </w:div>
        <w:div w:id="131214423">
          <w:marLeft w:val="0"/>
          <w:marRight w:val="0"/>
          <w:marTop w:val="0"/>
          <w:marBottom w:val="0"/>
          <w:divBdr>
            <w:top w:val="none" w:sz="0" w:space="0" w:color="auto"/>
            <w:left w:val="none" w:sz="0" w:space="0" w:color="auto"/>
            <w:bottom w:val="none" w:sz="0" w:space="0" w:color="auto"/>
            <w:right w:val="none" w:sz="0" w:space="0" w:color="auto"/>
          </w:divBdr>
        </w:div>
        <w:div w:id="731347143">
          <w:marLeft w:val="0"/>
          <w:marRight w:val="0"/>
          <w:marTop w:val="0"/>
          <w:marBottom w:val="0"/>
          <w:divBdr>
            <w:top w:val="none" w:sz="0" w:space="0" w:color="auto"/>
            <w:left w:val="none" w:sz="0" w:space="0" w:color="auto"/>
            <w:bottom w:val="none" w:sz="0" w:space="0" w:color="auto"/>
            <w:right w:val="none" w:sz="0" w:space="0" w:color="auto"/>
          </w:divBdr>
        </w:div>
        <w:div w:id="62680242">
          <w:marLeft w:val="0"/>
          <w:marRight w:val="0"/>
          <w:marTop w:val="0"/>
          <w:marBottom w:val="0"/>
          <w:divBdr>
            <w:top w:val="none" w:sz="0" w:space="0" w:color="auto"/>
            <w:left w:val="none" w:sz="0" w:space="0" w:color="auto"/>
            <w:bottom w:val="none" w:sz="0" w:space="0" w:color="auto"/>
            <w:right w:val="none" w:sz="0" w:space="0" w:color="auto"/>
          </w:divBdr>
        </w:div>
        <w:div w:id="434062022">
          <w:marLeft w:val="0"/>
          <w:marRight w:val="0"/>
          <w:marTop w:val="0"/>
          <w:marBottom w:val="0"/>
          <w:divBdr>
            <w:top w:val="none" w:sz="0" w:space="0" w:color="auto"/>
            <w:left w:val="none" w:sz="0" w:space="0" w:color="auto"/>
            <w:bottom w:val="none" w:sz="0" w:space="0" w:color="auto"/>
            <w:right w:val="none" w:sz="0" w:space="0" w:color="auto"/>
          </w:divBdr>
        </w:div>
        <w:div w:id="836850322">
          <w:marLeft w:val="0"/>
          <w:marRight w:val="0"/>
          <w:marTop w:val="0"/>
          <w:marBottom w:val="0"/>
          <w:divBdr>
            <w:top w:val="none" w:sz="0" w:space="0" w:color="auto"/>
            <w:left w:val="none" w:sz="0" w:space="0" w:color="auto"/>
            <w:bottom w:val="none" w:sz="0" w:space="0" w:color="auto"/>
            <w:right w:val="none" w:sz="0" w:space="0" w:color="auto"/>
          </w:divBdr>
        </w:div>
        <w:div w:id="1273123223">
          <w:marLeft w:val="0"/>
          <w:marRight w:val="0"/>
          <w:marTop w:val="0"/>
          <w:marBottom w:val="0"/>
          <w:divBdr>
            <w:top w:val="none" w:sz="0" w:space="0" w:color="auto"/>
            <w:left w:val="none" w:sz="0" w:space="0" w:color="auto"/>
            <w:bottom w:val="none" w:sz="0" w:space="0" w:color="auto"/>
            <w:right w:val="none" w:sz="0" w:space="0" w:color="auto"/>
          </w:divBdr>
        </w:div>
        <w:div w:id="488325528">
          <w:marLeft w:val="0"/>
          <w:marRight w:val="0"/>
          <w:marTop w:val="0"/>
          <w:marBottom w:val="0"/>
          <w:divBdr>
            <w:top w:val="none" w:sz="0" w:space="0" w:color="auto"/>
            <w:left w:val="none" w:sz="0" w:space="0" w:color="auto"/>
            <w:bottom w:val="none" w:sz="0" w:space="0" w:color="auto"/>
            <w:right w:val="none" w:sz="0" w:space="0" w:color="auto"/>
          </w:divBdr>
        </w:div>
        <w:div w:id="1924021040">
          <w:marLeft w:val="0"/>
          <w:marRight w:val="0"/>
          <w:marTop w:val="0"/>
          <w:marBottom w:val="0"/>
          <w:divBdr>
            <w:top w:val="none" w:sz="0" w:space="0" w:color="auto"/>
            <w:left w:val="none" w:sz="0" w:space="0" w:color="auto"/>
            <w:bottom w:val="none" w:sz="0" w:space="0" w:color="auto"/>
            <w:right w:val="none" w:sz="0" w:space="0" w:color="auto"/>
          </w:divBdr>
        </w:div>
        <w:div w:id="1190685600">
          <w:marLeft w:val="0"/>
          <w:marRight w:val="0"/>
          <w:marTop w:val="0"/>
          <w:marBottom w:val="0"/>
          <w:divBdr>
            <w:top w:val="none" w:sz="0" w:space="0" w:color="auto"/>
            <w:left w:val="none" w:sz="0" w:space="0" w:color="auto"/>
            <w:bottom w:val="none" w:sz="0" w:space="0" w:color="auto"/>
            <w:right w:val="none" w:sz="0" w:space="0" w:color="auto"/>
          </w:divBdr>
        </w:div>
        <w:div w:id="4071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55094F87CF44D0A78E0763F5C02F88"/>
        <w:category>
          <w:name w:val="Allgemein"/>
          <w:gallery w:val="placeholder"/>
        </w:category>
        <w:types>
          <w:type w:val="bbPlcHdr"/>
        </w:types>
        <w:behaviors>
          <w:behavior w:val="content"/>
        </w:behaviors>
        <w:guid w:val="{5766E2AC-140C-4758-8781-E53ECBF7D8DA}"/>
      </w:docPartPr>
      <w:docPartBody>
        <w:p w:rsidR="00BB60D4" w:rsidRDefault="000E17CB" w:rsidP="000E17CB">
          <w:pPr>
            <w:pStyle w:val="CE55094F87CF44D0A78E0763F5C02F88"/>
          </w:pPr>
          <w:r>
            <w:rPr>
              <w:caps/>
              <w:color w:val="FFFFFF" w:themeColor="background1"/>
            </w:rPr>
            <w:t>[Name des Autors]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CB"/>
    <w:rsid w:val="000E17CB"/>
    <w:rsid w:val="00BB6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E55094F87CF44D0A78E0763F5C02F88">
    <w:name w:val="CE55094F87CF44D0A78E0763F5C02F88"/>
    <w:rsid w:val="000E1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8373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Katholische Hochschulgemeinde Aachen</dc:creator>
  <cp:keywords/>
  <dc:description/>
  <cp:lastModifiedBy>Guido Schürenberg</cp:lastModifiedBy>
  <cp:revision>3</cp:revision>
  <dcterms:created xsi:type="dcterms:W3CDTF">2018-04-27T11:31:00Z</dcterms:created>
  <dcterms:modified xsi:type="dcterms:W3CDTF">2018-05-04T07:45:00Z</dcterms:modified>
</cp:coreProperties>
</file>